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dp" ContentType="image/vnd.ms-photo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ind w:firstLine="1047" w:firstLineChars="616"/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Times New Roman"/>
          <w:sz w:val="1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139700</wp:posOffset>
                </wp:positionV>
                <wp:extent cx="3997960" cy="1350645"/>
                <wp:effectExtent l="0" t="0" r="0" b="254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842" cy="135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85pt;margin-top:11pt;height:106.35pt;width:314.8pt;z-index:251659264;mso-width-relative:page;mso-height-relative:page;" filled="f" stroked="f" coordsize="21600,21600" o:gfxdata="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YDa2H2AAAAAoBAAAP&#10;AAAAAAAAAAEAIAAAACIAAABkcnMvZG93bnJldi54bWxQSwECFAAUAAAACACHTuJAcTJCGRgCAAAW&#10;BAAADgAAAAAAAAABACAAAAAnAQAAZHJzL2Uyb0RvYy54bWxQSwUGAAAAAAYABgBZAQAAs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楷体_GB2312" w:eastAsia="楷体_GB2312"/>
          <w:b/>
          <w:sz w:val="36"/>
          <w:szCs w:val="36"/>
        </w:rPr>
        <w:t xml:space="preserve">目 </w:t>
      </w:r>
      <w:r>
        <w:rPr>
          <w:rFonts w:ascii="楷体_GB2312" w:eastAsia="楷体_GB2312"/>
          <w:b/>
          <w:sz w:val="36"/>
          <w:szCs w:val="36"/>
        </w:rPr>
        <w:t xml:space="preserve"> </w:t>
      </w:r>
      <w:r>
        <w:rPr>
          <w:rFonts w:hint="eastAsia" w:ascii="楷体_GB2312" w:eastAsia="楷体_GB2312"/>
          <w:b/>
          <w:sz w:val="36"/>
          <w:szCs w:val="36"/>
        </w:rPr>
        <w:t>录</w:t>
      </w:r>
    </w:p>
    <w:p>
      <w:pPr>
        <w:pStyle w:val="16"/>
        <w:tabs>
          <w:tab w:val="left" w:pos="48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rPr>
          <w:rFonts w:ascii="微软雅黑" w:hAnsi="微软雅黑"/>
          <w:b w:val="0"/>
        </w:rPr>
        <w:fldChar w:fldCharType="begin"/>
      </w:r>
      <w:r>
        <w:rPr>
          <w:rFonts w:ascii="微软雅黑" w:hAnsi="微软雅黑"/>
          <w:b w:val="0"/>
        </w:rPr>
        <w:instrText xml:space="preserve"> TOC \o "1-3" \h \z \u </w:instrText>
      </w:r>
      <w:r>
        <w:rPr>
          <w:rFonts w:ascii="微软雅黑" w:hAnsi="微软雅黑"/>
          <w:b w:val="0"/>
        </w:rPr>
        <w:fldChar w:fldCharType="separate"/>
      </w:r>
      <w:r>
        <w:fldChar w:fldCharType="begin"/>
      </w:r>
      <w:r>
        <w:instrText xml:space="preserve"> HYPERLINK \l "_Toc37950648" </w:instrText>
      </w:r>
      <w:r>
        <w:fldChar w:fldCharType="separate"/>
      </w:r>
      <w:r>
        <w:rPr>
          <w:rStyle w:val="36"/>
        </w:rPr>
        <w:t>1.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适用范围</w:t>
      </w:r>
      <w:r>
        <w:tab/>
      </w:r>
      <w:r>
        <w:fldChar w:fldCharType="begin"/>
      </w:r>
      <w:r>
        <w:instrText xml:space="preserve"> PAGEREF _Toc37950648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48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"_Toc37950649" </w:instrText>
      </w:r>
      <w:r>
        <w:fldChar w:fldCharType="separate"/>
      </w:r>
      <w:r>
        <w:rPr>
          <w:rStyle w:val="36"/>
        </w:rPr>
        <w:t>2.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产品说明</w:t>
      </w:r>
      <w:r>
        <w:tab/>
      </w:r>
      <w:r>
        <w:fldChar w:fldCharType="begin"/>
      </w:r>
      <w:r>
        <w:instrText xml:space="preserve"> PAGEREF _Toc37950649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48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"_Toc37950650" </w:instrText>
      </w:r>
      <w:r>
        <w:fldChar w:fldCharType="separate"/>
      </w:r>
      <w:r>
        <w:rPr>
          <w:rStyle w:val="36"/>
        </w:rPr>
        <w:t>3.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模组照片</w:t>
      </w:r>
      <w:r>
        <w:tab/>
      </w:r>
      <w:r>
        <w:fldChar w:fldCharType="begin"/>
      </w:r>
      <w:r>
        <w:instrText xml:space="preserve"> PAGEREF _Toc37950650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left" w:pos="48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"_Toc37950651" </w:instrText>
      </w:r>
      <w:r>
        <w:fldChar w:fldCharType="separate"/>
      </w:r>
      <w:r>
        <w:rPr>
          <w:rStyle w:val="36"/>
        </w:rPr>
        <w:t>4.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技术参数</w:t>
      </w:r>
      <w:r>
        <w:tab/>
      </w:r>
      <w:r>
        <w:fldChar w:fldCharType="begin"/>
      </w:r>
      <w:r>
        <w:instrText xml:space="preserve"> PAGEREF _Toc37950651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6"/>
        <w:tabs>
          <w:tab w:val="left" w:pos="48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"_Toc37950652" </w:instrText>
      </w:r>
      <w:r>
        <w:fldChar w:fldCharType="separate"/>
      </w:r>
      <w:r>
        <w:rPr>
          <w:rStyle w:val="36"/>
        </w:rPr>
        <w:t>5.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接口定义</w:t>
      </w:r>
      <w:r>
        <w:tab/>
      </w:r>
      <w:r>
        <w:fldChar w:fldCharType="begin"/>
      </w:r>
      <w:r>
        <w:instrText xml:space="preserve"> PAGEREF _Toc37950652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6"/>
        <w:tabs>
          <w:tab w:val="left" w:pos="48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"_Toc37950653" </w:instrText>
      </w:r>
      <w:r>
        <w:fldChar w:fldCharType="separate"/>
      </w:r>
      <w:r>
        <w:rPr>
          <w:rStyle w:val="36"/>
        </w:rPr>
        <w:t>6.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型号定义</w:t>
      </w:r>
      <w:r>
        <w:tab/>
      </w:r>
      <w:r>
        <w:fldChar w:fldCharType="begin"/>
      </w:r>
      <w:r>
        <w:instrText xml:space="preserve"> PAGEREF _Toc37950653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6"/>
        <w:tabs>
          <w:tab w:val="left" w:pos="48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"_Toc37950654" </w:instrText>
      </w:r>
      <w:r>
        <w:fldChar w:fldCharType="separate"/>
      </w:r>
      <w:r>
        <w:rPr>
          <w:rStyle w:val="36"/>
        </w:rPr>
        <w:t>7.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安装孔位</w:t>
      </w:r>
      <w:r>
        <w:tab/>
      </w:r>
      <w:r>
        <w:fldChar w:fldCharType="begin"/>
      </w:r>
      <w:r>
        <w:instrText xml:space="preserve"> PAGEREF _Toc37950654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6"/>
        <w:tabs>
          <w:tab w:val="left" w:pos="48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"_Toc37950655" </w:instrText>
      </w:r>
      <w:r>
        <w:fldChar w:fldCharType="separate"/>
      </w:r>
      <w:r>
        <w:rPr>
          <w:rStyle w:val="36"/>
        </w:rPr>
        <w:t>8.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产品包装</w:t>
      </w:r>
      <w:r>
        <w:tab/>
      </w:r>
      <w:r>
        <w:fldChar w:fldCharType="begin"/>
      </w:r>
      <w:r>
        <w:instrText xml:space="preserve"> PAGEREF _Toc37950655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6"/>
        <w:tabs>
          <w:tab w:val="left" w:pos="48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"_Toc37950656" </w:instrText>
      </w:r>
      <w:r>
        <w:fldChar w:fldCharType="separate"/>
      </w:r>
      <w:r>
        <w:rPr>
          <w:rStyle w:val="36"/>
        </w:rPr>
        <w:t>9.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箱体外观</w:t>
      </w:r>
      <w:r>
        <w:tab/>
      </w:r>
      <w:r>
        <w:fldChar w:fldCharType="begin"/>
      </w:r>
      <w:r>
        <w:instrText xml:space="preserve"> PAGEREF _Toc37950656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6"/>
        <w:tabs>
          <w:tab w:val="left" w:pos="52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"_Toc37950657" </w:instrText>
      </w:r>
      <w:r>
        <w:fldChar w:fldCharType="separate"/>
      </w:r>
      <w:r>
        <w:rPr>
          <w:rStyle w:val="36"/>
        </w:rPr>
        <w:t>10.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安装方式</w:t>
      </w:r>
      <w:r>
        <w:tab/>
      </w:r>
      <w:r>
        <w:fldChar w:fldCharType="begin"/>
      </w:r>
      <w:r>
        <w:instrText xml:space="preserve"> PAGEREF _Toc37950657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6"/>
        <w:tabs>
          <w:tab w:val="left" w:pos="52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"_Toc37950658" </w:instrText>
      </w:r>
      <w:r>
        <w:fldChar w:fldCharType="separate"/>
      </w:r>
      <w:r>
        <w:rPr>
          <w:rStyle w:val="36"/>
        </w:rPr>
        <w:t>11.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注意事项</w:t>
      </w:r>
      <w:r>
        <w:tab/>
      </w:r>
      <w:r>
        <w:fldChar w:fldCharType="begin"/>
      </w:r>
      <w:r>
        <w:instrText xml:space="preserve"> PAGEREF _Toc37950658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6"/>
        <w:tabs>
          <w:tab w:val="left" w:pos="520"/>
          <w:tab w:val="right" w:leader="dot" w:pos="8721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"_Toc37950659" </w:instrText>
      </w:r>
      <w:r>
        <w:fldChar w:fldCharType="separate"/>
      </w:r>
      <w:r>
        <w:rPr>
          <w:rStyle w:val="36"/>
        </w:rPr>
        <w:t>12.</w:t>
      </w:r>
      <w:r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  <w:tab/>
      </w:r>
      <w:r>
        <w:rPr>
          <w:rStyle w:val="36"/>
        </w:rPr>
        <w:t>使用说明</w:t>
      </w:r>
      <w:r>
        <w:tab/>
      </w:r>
      <w:r>
        <w:fldChar w:fldCharType="begin"/>
      </w:r>
      <w:r>
        <w:instrText xml:space="preserve"> PAGEREF _Toc37950659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jc w:val="center"/>
        <w:rPr>
          <w:rFonts w:ascii="微软雅黑" w:hAnsi="微软雅黑" w:eastAsia="等线"/>
          <w:b/>
          <w:sz w:val="20"/>
          <w:szCs w:val="20"/>
        </w:rPr>
      </w:pPr>
      <w:r>
        <w:rPr>
          <w:rFonts w:ascii="微软雅黑" w:hAnsi="微软雅黑" w:eastAsia="等线"/>
          <w:b/>
          <w:sz w:val="20"/>
          <w:szCs w:val="20"/>
        </w:rPr>
        <w:fldChar w:fldCharType="end"/>
      </w:r>
    </w:p>
    <w:p>
      <w:pPr>
        <w:pStyle w:val="2"/>
      </w:pPr>
      <w:r>
        <w:rPr>
          <w:rFonts w:ascii="微软雅黑" w:hAnsi="微软雅黑" w:eastAsia="等线"/>
          <w:sz w:val="20"/>
          <w:szCs w:val="20"/>
        </w:rPr>
        <w:br w:type="page"/>
      </w:r>
      <w:bookmarkStart w:id="0" w:name="_Toc37950648"/>
      <w:r>
        <w:rPr>
          <w:rFonts w:hint="eastAsia"/>
        </w:rPr>
        <w:t>适用范围</w:t>
      </w:r>
      <w:bookmarkEnd w:id="0"/>
    </w:p>
    <w:p>
      <w:pPr>
        <w:pStyle w:val="8"/>
        <w:spacing w:line="480" w:lineRule="auto"/>
        <w:ind w:firstLine="560" w:firstLineChars="20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本产品规格书仅适用于P</w:t>
      </w:r>
      <w:r>
        <w:rPr>
          <w:rFonts w:ascii="宋体" w:hAnsi="宋体" w:eastAsia="宋体"/>
          <w:sz w:val="28"/>
          <w:szCs w:val="28"/>
          <w:lang w:eastAsia="zh-CN"/>
        </w:rPr>
        <w:t>1.25</w:t>
      </w:r>
      <w:r>
        <w:rPr>
          <w:rFonts w:hint="eastAsia" w:ascii="宋体" w:hAnsi="宋体" w:eastAsia="宋体"/>
          <w:sz w:val="28"/>
          <w:szCs w:val="28"/>
          <w:lang w:eastAsia="zh-CN"/>
        </w:rPr>
        <w:t>户内全彩表贴模组</w:t>
      </w:r>
      <w:r>
        <w:rPr>
          <w:rFonts w:ascii="宋体" w:hAnsi="宋体" w:eastAsia="宋体"/>
          <w:sz w:val="28"/>
          <w:szCs w:val="28"/>
          <w:lang w:eastAsia="zh-CN"/>
        </w:rPr>
        <w:t>LED-P1.25-1010-256×128-64S-V1.0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pStyle w:val="2"/>
      </w:pPr>
      <w:bookmarkStart w:id="1" w:name="_Toc37950649"/>
      <w:r>
        <w:rPr>
          <w:rFonts w:hint="eastAsia"/>
        </w:rPr>
        <w:t>产品说明</w:t>
      </w:r>
      <w:bookmarkEnd w:id="1"/>
    </w:p>
    <w:p>
      <w:pPr>
        <w:pStyle w:val="8"/>
        <w:numPr>
          <w:ilvl w:val="0"/>
          <w:numId w:val="2"/>
        </w:numPr>
        <w:spacing w:line="480" w:lineRule="auto"/>
        <w:ind w:left="240" w:leftChars="10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高刷新、高灰阶：刷新率可达</w:t>
      </w:r>
      <w:r>
        <w:rPr>
          <w:rFonts w:ascii="宋体" w:hAnsi="宋体" w:eastAsia="宋体"/>
          <w:sz w:val="28"/>
          <w:szCs w:val="28"/>
          <w:lang w:eastAsia="zh-CN"/>
        </w:rPr>
        <w:t>3</w:t>
      </w:r>
      <w:r>
        <w:rPr>
          <w:rFonts w:hint="eastAsia" w:ascii="宋体" w:hAnsi="宋体" w:eastAsia="宋体"/>
          <w:sz w:val="28"/>
          <w:szCs w:val="28"/>
          <w:lang w:eastAsia="zh-CN"/>
        </w:rPr>
        <w:t>K</w:t>
      </w:r>
      <w:r>
        <w:rPr>
          <w:rFonts w:ascii="宋体" w:hAnsi="宋体" w:eastAsia="宋体"/>
          <w:sz w:val="28"/>
          <w:szCs w:val="28"/>
          <w:lang w:eastAsia="zh-CN"/>
        </w:rPr>
        <w:t>H</w:t>
      </w:r>
      <w:r>
        <w:rPr>
          <w:rFonts w:hint="eastAsia" w:ascii="宋体" w:hAnsi="宋体" w:eastAsia="宋体"/>
          <w:sz w:val="28"/>
          <w:szCs w:val="28"/>
          <w:lang w:eastAsia="zh-CN"/>
        </w:rPr>
        <w:t>z以上，灰度1</w:t>
      </w:r>
      <w:r>
        <w:rPr>
          <w:rFonts w:ascii="宋体" w:hAnsi="宋体" w:eastAsia="宋体"/>
          <w:sz w:val="28"/>
          <w:szCs w:val="28"/>
          <w:lang w:eastAsia="zh-CN"/>
        </w:rPr>
        <w:t>2</w:t>
      </w:r>
      <w:r>
        <w:rPr>
          <w:rFonts w:hint="eastAsia" w:ascii="宋体" w:hAnsi="宋体" w:eastAsia="宋体"/>
          <w:sz w:val="28"/>
          <w:szCs w:val="28"/>
          <w:lang w:eastAsia="zh-CN"/>
        </w:rPr>
        <w:t>Bit以上，显示画面细腻真实，亮度稳定均匀，无闪烁，无颗粒感；</w:t>
      </w:r>
    </w:p>
    <w:p>
      <w:pPr>
        <w:pStyle w:val="8"/>
        <w:numPr>
          <w:ilvl w:val="0"/>
          <w:numId w:val="2"/>
        </w:numPr>
        <w:spacing w:line="480" w:lineRule="auto"/>
        <w:ind w:left="240" w:leftChars="10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驱动方案：具有列上、列下消隐功能，高刷新率，首行偏暗改善，低灰偏色、麻点改善灯功能；</w:t>
      </w:r>
    </w:p>
    <w:p>
      <w:pPr>
        <w:pStyle w:val="8"/>
        <w:numPr>
          <w:ilvl w:val="0"/>
          <w:numId w:val="2"/>
        </w:numPr>
        <w:spacing w:line="480" w:lineRule="auto"/>
        <w:ind w:left="240" w:leftChars="10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高视角、高对比度：采用</w:t>
      </w:r>
      <w:r>
        <w:rPr>
          <w:rFonts w:ascii="宋体" w:hAnsi="宋体" w:eastAsia="宋体"/>
          <w:sz w:val="28"/>
          <w:szCs w:val="28"/>
          <w:lang w:eastAsia="zh-CN"/>
        </w:rPr>
        <w:t>SMD1010</w:t>
      </w:r>
      <w:r>
        <w:rPr>
          <w:rFonts w:hint="eastAsia" w:ascii="宋体" w:hAnsi="宋体" w:eastAsia="宋体"/>
          <w:sz w:val="28"/>
          <w:szCs w:val="28"/>
          <w:lang w:eastAsia="zh-CN"/>
        </w:rPr>
        <w:t>灯珠，内由红色、绿色、蓝色芯片组成，墨色均匀，一致性好，对比度可达5000:1，视角可达160°以上，可靠性高，使用寿命长；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</w:p>
    <w:p>
      <w:pPr>
        <w:pStyle w:val="2"/>
      </w:pPr>
      <w:bookmarkStart w:id="2" w:name="_Toc37950650"/>
      <w:r>
        <w:rPr>
          <w:rFonts w:hint="eastAsia"/>
        </w:rPr>
        <w:t>模组照片</w:t>
      </w:r>
      <w:bookmarkEnd w:id="2"/>
    </w:p>
    <w:p/>
    <w:p>
      <w:r>
        <w:rPr>
          <w:sz w:val="32"/>
          <w:szCs w:val="32"/>
        </w:rPr>
        <w:drawing>
          <wp:inline distT="0" distB="0" distL="0" distR="0">
            <wp:extent cx="2679065" cy="1344295"/>
            <wp:effectExtent l="0" t="0" r="698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20413" r="1617" b="15744"/>
                    <a:stretch>
                      <a:fillRect/>
                    </a:stretch>
                  </pic:blipFill>
                  <pic:spPr>
                    <a:xfrm>
                      <a:off x="0" y="0"/>
                      <a:ext cx="2734840" cy="137277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sz w:val="32"/>
          <w:szCs w:val="32"/>
        </w:rPr>
        <w:drawing>
          <wp:inline distT="0" distB="0" distL="0" distR="0">
            <wp:extent cx="2640330" cy="134112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" t="23219" r="3526" b="13429"/>
                    <a:stretch>
                      <a:fillRect/>
                    </a:stretch>
                  </pic:blipFill>
                  <pic:spPr>
                    <a:xfrm>
                      <a:off x="0" y="0"/>
                      <a:ext cx="2749893" cy="13971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           </w:t>
      </w:r>
      <w:r>
        <w:rPr>
          <w:rFonts w:hint="eastAsia"/>
          <w:sz w:val="28"/>
          <w:szCs w:val="28"/>
        </w:rPr>
        <w:t xml:space="preserve">背视图 </w:t>
      </w:r>
      <w:r>
        <w:rPr>
          <w:sz w:val="28"/>
          <w:szCs w:val="28"/>
        </w:rPr>
        <w:t xml:space="preserve">                           </w:t>
      </w:r>
      <w:r>
        <w:rPr>
          <w:rFonts w:hint="eastAsia"/>
          <w:sz w:val="28"/>
          <w:szCs w:val="28"/>
        </w:rPr>
        <w:t>正视图</w:t>
      </w:r>
    </w:p>
    <w:p/>
    <w:p/>
    <w:p/>
    <w:p>
      <w:pPr>
        <w:pStyle w:val="2"/>
      </w:pPr>
      <w:r>
        <w:br w:type="page"/>
      </w:r>
      <w:bookmarkStart w:id="3" w:name="_Toc37950651"/>
      <w:r>
        <w:rPr>
          <w:rFonts w:hint="eastAsia"/>
        </w:rPr>
        <w:t>技术参数</w:t>
      </w:r>
      <w:bookmarkEnd w:id="3"/>
    </w:p>
    <w:tbl>
      <w:tblPr>
        <w:tblStyle w:val="24"/>
        <w:tblpPr w:leftFromText="180" w:rightFromText="180" w:vertAnchor="text" w:horzAnchor="page" w:tblpXSpec="center" w:tblpY="150"/>
        <w:tblW w:w="8505" w:type="dxa"/>
        <w:tblInd w:w="0" w:type="dxa"/>
        <w:tblBorders>
          <w:top w:val="single" w:color="8EAADB" w:sz="4" w:space="0"/>
          <w:left w:val="single" w:color="8EAADB" w:sz="4" w:space="0"/>
          <w:bottom w:val="single" w:color="8EAADB" w:sz="4" w:space="0"/>
          <w:right w:val="single" w:color="8EAADB" w:sz="4" w:space="0"/>
          <w:insideH w:val="single" w:color="8EAADB" w:sz="4" w:space="0"/>
          <w:insideV w:val="single" w:color="8EAADB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3"/>
        <w:gridCol w:w="2532"/>
        <w:gridCol w:w="5090"/>
      </w:tblGrid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3415" w:type="dxa"/>
            <w:gridSpan w:val="2"/>
            <w:tcBorders>
              <w:top w:val="single" w:color="4472C4" w:sz="4" w:space="0"/>
              <w:left w:val="single" w:color="4472C4" w:sz="4" w:space="0"/>
              <w:bottom w:val="single" w:color="4472C4" w:sz="4" w:space="0"/>
              <w:right w:val="nil"/>
            </w:tcBorders>
            <w:shd w:val="clear" w:color="auto" w:fill="4472C4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FFFFFF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Cs w:val="28"/>
              </w:rPr>
              <w:t>参数名称</w:t>
            </w:r>
          </w:p>
        </w:tc>
        <w:tc>
          <w:tcPr>
            <w:tcW w:w="5090" w:type="dxa"/>
            <w:tcBorders>
              <w:top w:val="single" w:color="4472C4" w:sz="4" w:space="0"/>
              <w:left w:val="nil"/>
              <w:bottom w:val="single" w:color="4472C4" w:sz="4" w:space="0"/>
              <w:right w:val="single" w:color="4472C4" w:sz="4" w:space="0"/>
            </w:tcBorders>
            <w:shd w:val="clear" w:color="auto" w:fill="4472C4"/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FFFFFF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Cs w:val="28"/>
              </w:rPr>
              <w:t>产品参数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restart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8"/>
              </w:rPr>
              <w:t>模组参数</w:t>
            </w: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像素封装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SMD</w:t>
            </w:r>
            <w:r>
              <w:rPr>
                <w:rFonts w:ascii="宋体" w:hAnsi="宋体" w:cs="微软雅黑"/>
                <w:sz w:val="18"/>
                <w:szCs w:val="18"/>
              </w:rPr>
              <w:t>1010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auto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像素间距（mm）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1.25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模组分辨率（W×H）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256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X</w:t>
            </w:r>
            <w:r>
              <w:rPr>
                <w:rFonts w:ascii="宋体" w:hAnsi="宋体" w:cs="微软雅黑"/>
                <w:sz w:val="18"/>
                <w:szCs w:val="18"/>
              </w:rPr>
              <w:t>128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=</w:t>
            </w:r>
            <w:r>
              <w:rPr>
                <w:rFonts w:ascii="宋体" w:hAnsi="宋体" w:cs="微软雅黑"/>
                <w:sz w:val="18"/>
                <w:szCs w:val="18"/>
              </w:rPr>
              <w:t>32768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auto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模组尺寸（mm）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320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（W）×</w:t>
            </w:r>
            <w:r>
              <w:rPr>
                <w:rFonts w:ascii="宋体" w:hAnsi="宋体" w:cs="微软雅黑"/>
                <w:sz w:val="18"/>
                <w:szCs w:val="18"/>
              </w:rPr>
              <w:t>160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（H）×</w:t>
            </w:r>
            <w:r>
              <w:rPr>
                <w:rFonts w:ascii="宋体" w:hAnsi="宋体" w:cs="微软雅黑"/>
                <w:sz w:val="18"/>
                <w:szCs w:val="18"/>
              </w:rPr>
              <w:t>16.6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（D）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tcBorders>
              <w:bottom w:val="single" w:color="8EAADB" w:sz="4" w:space="0"/>
            </w:tcBorders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模组重量（kg）</w:t>
            </w:r>
          </w:p>
        </w:tc>
        <w:tc>
          <w:tcPr>
            <w:tcW w:w="5090" w:type="dxa"/>
            <w:tcBorders>
              <w:bottom w:val="single" w:color="8EAADB" w:sz="4" w:space="0"/>
            </w:tcBorders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0.</w:t>
            </w:r>
            <w:r>
              <w:rPr>
                <w:rFonts w:ascii="宋体" w:hAnsi="宋体" w:cs="微软雅黑"/>
                <w:sz w:val="18"/>
                <w:szCs w:val="18"/>
              </w:rPr>
              <w:t>46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tcBorders>
              <w:bottom w:val="single" w:color="8EAADB" w:sz="4" w:space="0"/>
            </w:tcBorders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模组输入电压</w:t>
            </w:r>
          </w:p>
        </w:tc>
        <w:tc>
          <w:tcPr>
            <w:tcW w:w="5090" w:type="dxa"/>
            <w:tcBorders>
              <w:bottom w:val="single" w:color="8EAADB" w:sz="4" w:space="0"/>
            </w:tcBorders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4</w:t>
            </w:r>
            <w:r>
              <w:rPr>
                <w:rFonts w:ascii="宋体" w:hAnsi="宋体" w:cs="微软雅黑"/>
                <w:sz w:val="18"/>
                <w:szCs w:val="18"/>
              </w:rPr>
              <w:t>.5V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～</w:t>
            </w:r>
            <w:r>
              <w:rPr>
                <w:rFonts w:ascii="宋体" w:hAnsi="宋体" w:cs="微软雅黑"/>
                <w:sz w:val="18"/>
                <w:szCs w:val="18"/>
              </w:rPr>
              <w:t>5V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tcBorders>
              <w:bottom w:val="single" w:color="8EAADB" w:sz="4" w:space="0"/>
            </w:tcBorders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5090" w:type="dxa"/>
            <w:tcBorders>
              <w:bottom w:val="single" w:color="8EAADB" w:sz="4" w:space="0"/>
            </w:tcBorders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≤</w:t>
            </w:r>
            <w:r>
              <w:rPr>
                <w:rFonts w:ascii="宋体" w:hAnsi="宋体" w:cs="微软雅黑"/>
                <w:sz w:val="18"/>
                <w:szCs w:val="18"/>
              </w:rPr>
              <w:t>30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tcBorders>
              <w:bottom w:val="single" w:color="8EAADB" w:sz="4" w:space="0"/>
            </w:tcBorders>
            <w:shd w:val="clear" w:color="auto" w:fill="auto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电源带载量（</w:t>
            </w:r>
            <w:r>
              <w:rPr>
                <w:rFonts w:ascii="宋体" w:hAnsi="宋体" w:cs="微软雅黑"/>
                <w:sz w:val="18"/>
                <w:szCs w:val="18"/>
              </w:rPr>
              <w:t>40A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）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6块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restart"/>
            <w:shd w:val="clear" w:color="auto" w:fill="FFFFFF" w:themeFill="background1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8"/>
              </w:rPr>
              <w:t>箱体参数</w:t>
            </w: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箱体模组构成（W×H）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2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×</w:t>
            </w:r>
            <w:r>
              <w:rPr>
                <w:rFonts w:ascii="宋体" w:hAnsi="宋体" w:cs="微软雅黑"/>
                <w:sz w:val="18"/>
                <w:szCs w:val="18"/>
              </w:rPr>
              <w:t>3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FFFFFF" w:themeFill="background1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512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×</w:t>
            </w:r>
            <w:r>
              <w:rPr>
                <w:rFonts w:ascii="宋体" w:hAnsi="宋体" w:cs="微软雅黑"/>
                <w:sz w:val="18"/>
                <w:szCs w:val="18"/>
              </w:rPr>
              <w:t>384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FFFFFF" w:themeFill="background1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箱体尺寸（含模组）（mm）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640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（W）×</w:t>
            </w:r>
            <w:r>
              <w:rPr>
                <w:rFonts w:ascii="宋体" w:hAnsi="宋体" w:cs="微软雅黑"/>
                <w:sz w:val="18"/>
                <w:szCs w:val="18"/>
              </w:rPr>
              <w:t>480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（H）×</w:t>
            </w:r>
            <w:r>
              <w:rPr>
                <w:rFonts w:ascii="宋体" w:hAnsi="宋体" w:cs="微软雅黑"/>
                <w:sz w:val="18"/>
                <w:szCs w:val="18"/>
              </w:rPr>
              <w:t>70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（D）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FFFFFF" w:themeFill="background1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箱体重量（kg）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6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～</w:t>
            </w:r>
            <w:r>
              <w:rPr>
                <w:rFonts w:ascii="宋体" w:hAnsi="宋体" w:cs="微软雅黑"/>
                <w:sz w:val="18"/>
                <w:szCs w:val="18"/>
              </w:rPr>
              <w:t>8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FFFFFF" w:themeFill="background1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像素密度（Pixel/m</w:t>
            </w:r>
            <w:r>
              <w:rPr>
                <w:rFonts w:hint="eastAsia" w:ascii="宋体" w:hAnsi="宋体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）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640000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FFFFFF" w:themeFill="background1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箱体平整度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≤0.1mm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FFFFFF" w:themeFill="background1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维护方式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前/后维护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FFFFFF" w:themeFill="background1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箱体材质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压铸铝/铁/铝/型材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restart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8"/>
              </w:rPr>
              <w:t>光学参数</w:t>
            </w: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逐点色度、亮度校正技术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支持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auto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500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标准色温（K）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6500</w:t>
            </w:r>
            <w:r>
              <w:rPr>
                <w:rFonts w:ascii="宋体" w:hAnsi="宋体" w:cs="微软雅黑"/>
                <w:sz w:val="18"/>
                <w:szCs w:val="18"/>
              </w:rPr>
              <w:t>K (1000K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～9</w:t>
            </w:r>
            <w:r>
              <w:rPr>
                <w:rFonts w:ascii="宋体" w:hAnsi="宋体" w:cs="微软雅黑"/>
                <w:sz w:val="18"/>
                <w:szCs w:val="18"/>
              </w:rPr>
              <w:t>500K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可调</w:t>
            </w:r>
            <w:r>
              <w:rPr>
                <w:rFonts w:ascii="宋体" w:hAnsi="宋体" w:cs="微软雅黑"/>
                <w:sz w:val="18"/>
                <w:szCs w:val="18"/>
              </w:rPr>
              <w:t>)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auto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140/1</w:t>
            </w:r>
            <w:r>
              <w:rPr>
                <w:rFonts w:ascii="宋体" w:hAnsi="宋体" w:cs="微软雅黑"/>
                <w:sz w:val="18"/>
                <w:szCs w:val="18"/>
              </w:rPr>
              <w:t>4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发光点中心距偏差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&lt;</w:t>
            </w:r>
            <w:r>
              <w:rPr>
                <w:rFonts w:ascii="宋体" w:hAnsi="宋体" w:cs="微软雅黑"/>
                <w:sz w:val="18"/>
                <w:szCs w:val="18"/>
              </w:rPr>
              <w:t>3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%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auto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亮度/色度均匀性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≥9</w:t>
            </w:r>
            <w:r>
              <w:rPr>
                <w:rFonts w:ascii="宋体" w:hAnsi="宋体" w:cs="微软雅黑"/>
                <w:sz w:val="18"/>
                <w:szCs w:val="18"/>
              </w:rPr>
              <w:t>8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%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对比度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5000:1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restart"/>
            <w:shd w:val="clear" w:color="auto" w:fill="auto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8"/>
              </w:rPr>
              <w:t>电气参数</w:t>
            </w: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最大功耗（</w:t>
            </w:r>
            <w:r>
              <w:rPr>
                <w:rFonts w:ascii="宋体" w:hAnsi="宋体" w:cs="微软雅黑"/>
                <w:sz w:val="18"/>
                <w:szCs w:val="18"/>
              </w:rPr>
              <w:t>W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/m</w:t>
            </w:r>
            <w:r>
              <w:rPr>
                <w:rFonts w:hint="eastAsia" w:ascii="宋体" w:hAnsi="宋体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）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586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平均功耗 (</w:t>
            </w:r>
            <w:r>
              <w:rPr>
                <w:rFonts w:ascii="宋体" w:hAnsi="宋体" w:cs="微软雅黑"/>
                <w:sz w:val="18"/>
                <w:szCs w:val="18"/>
              </w:rPr>
              <w:t>W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/m</w:t>
            </w:r>
            <w:r>
              <w:rPr>
                <w:rFonts w:hint="eastAsia" w:ascii="宋体" w:hAnsi="宋体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ascii="宋体" w:hAnsi="宋体" w:cs="微软雅黑"/>
                <w:sz w:val="18"/>
                <w:szCs w:val="18"/>
              </w:rPr>
              <w:t>)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176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auto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供电要求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AC90～132V/ AC186～264V，频率47-63（Hz）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tcBorders>
              <w:bottom w:val="single" w:color="8EAADB" w:sz="4" w:space="0"/>
            </w:tcBorders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安全特性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restart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8"/>
              </w:rPr>
              <w:t>处理性能</w:t>
            </w: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换帧频率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60Hz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驱动方式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恒流驱动/</w:t>
            </w:r>
            <w:r>
              <w:rPr>
                <w:rFonts w:ascii="宋体" w:hAnsi="宋体" w:cs="微软雅黑"/>
                <w:sz w:val="18"/>
                <w:szCs w:val="18"/>
              </w:rPr>
              <w:t>64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扫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灰度级别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4096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刷新率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≥</w:t>
            </w:r>
            <w:r>
              <w:rPr>
                <w:rFonts w:ascii="宋体" w:hAnsi="宋体" w:cs="微软雅黑"/>
                <w:sz w:val="18"/>
                <w:szCs w:val="18"/>
              </w:rPr>
              <w:t>3840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Hz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颜色处理位数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1</w:t>
            </w:r>
            <w:r>
              <w:rPr>
                <w:rFonts w:ascii="宋体" w:hAnsi="宋体" w:cs="微软雅黑"/>
                <w:sz w:val="18"/>
                <w:szCs w:val="18"/>
              </w:rPr>
              <w:t>2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bit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restart"/>
            <w:shd w:val="clear" w:color="auto" w:fill="auto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使用参数</w:t>
            </w: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寿命典型值（hrs）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工作温/湿度范围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-</w:t>
            </w:r>
            <w:r>
              <w:rPr>
                <w:rFonts w:ascii="宋体" w:hAnsi="宋体" w:cs="微软雅黑"/>
                <w:sz w:val="18"/>
                <w:szCs w:val="18"/>
              </w:rPr>
              <w:t>2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0℃–</w:t>
            </w:r>
            <w:r>
              <w:rPr>
                <w:rFonts w:ascii="宋体" w:hAnsi="宋体" w:cs="微软雅黑"/>
                <w:sz w:val="18"/>
                <w:szCs w:val="18"/>
              </w:rPr>
              <w:t>5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0℃  / 10%-</w:t>
            </w:r>
            <w:r>
              <w:rPr>
                <w:rFonts w:ascii="宋体" w:hAnsi="宋体" w:cs="微软雅黑"/>
                <w:sz w:val="18"/>
                <w:szCs w:val="18"/>
              </w:rPr>
              <w:t>65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%RH（无结露）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auto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532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存储温/湿度范围</w:t>
            </w:r>
          </w:p>
        </w:tc>
        <w:tc>
          <w:tcPr>
            <w:tcW w:w="5090" w:type="dxa"/>
            <w:shd w:val="clear" w:color="auto" w:fill="auto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-20℃–</w:t>
            </w:r>
            <w:r>
              <w:rPr>
                <w:rFonts w:ascii="宋体" w:hAnsi="宋体" w:cs="微软雅黑"/>
                <w:sz w:val="18"/>
                <w:szCs w:val="18"/>
              </w:rPr>
              <w:t>3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0℃  / 10%-</w:t>
            </w:r>
            <w:r>
              <w:rPr>
                <w:rFonts w:ascii="宋体" w:hAnsi="宋体" w:cs="微软雅黑"/>
                <w:sz w:val="18"/>
                <w:szCs w:val="18"/>
              </w:rPr>
              <w:t>60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%RH（无结露）</w:t>
            </w:r>
          </w:p>
        </w:tc>
      </w:tr>
      <w:tr>
        <w:tblPrEx>
          <w:tblBorders>
            <w:top w:val="single" w:color="8EAADB" w:sz="4" w:space="0"/>
            <w:left w:val="single" w:color="8EAADB" w:sz="4" w:space="0"/>
            <w:bottom w:val="single" w:color="8EAADB" w:sz="4" w:space="0"/>
            <w:right w:val="single" w:color="8EAADB" w:sz="4" w:space="0"/>
            <w:insideH w:val="single" w:color="8EAADB" w:sz="4" w:space="0"/>
            <w:insideV w:val="single" w:color="8EAADB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883" w:type="dxa"/>
            <w:vMerge w:val="continue"/>
            <w:shd w:val="clear" w:color="auto" w:fill="D9E2F3"/>
            <w:vAlign w:val="center"/>
          </w:tcPr>
          <w:p>
            <w:pPr>
              <w:spacing w:line="340" w:lineRule="exact"/>
              <w:rPr>
                <w:rFonts w:ascii="微软雅黑" w:hAnsi="微软雅黑" w:eastAsia="微软雅黑" w:cs="微软雅黑"/>
                <w:b/>
                <w:bCs/>
                <w:sz w:val="21"/>
                <w:szCs w:val="21"/>
              </w:rPr>
            </w:pPr>
          </w:p>
        </w:tc>
        <w:tc>
          <w:tcPr>
            <w:tcW w:w="2532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ascii="宋体" w:hAnsi="宋体" w:cs="微软雅黑"/>
                <w:sz w:val="18"/>
                <w:szCs w:val="18"/>
              </w:rPr>
            </w:pPr>
            <w:r>
              <w:rPr>
                <w:rFonts w:hint="eastAsia" w:ascii="宋体" w:hAnsi="宋体" w:cs="微软雅黑"/>
                <w:sz w:val="18"/>
                <w:szCs w:val="18"/>
              </w:rPr>
              <w:t>适用标准</w:t>
            </w:r>
          </w:p>
        </w:tc>
        <w:tc>
          <w:tcPr>
            <w:tcW w:w="5090" w:type="dxa"/>
            <w:shd w:val="clear" w:color="auto" w:fill="D9E2F3"/>
            <w:vAlign w:val="center"/>
          </w:tcPr>
          <w:p>
            <w:pPr>
              <w:spacing w:line="340" w:lineRule="exact"/>
              <w:jc w:val="center"/>
              <w:rPr>
                <w:rFonts w:hint="eastAsia" w:ascii="宋体" w:hAnsi="宋体" w:cs="微软雅黑"/>
                <w:sz w:val="18"/>
                <w:szCs w:val="18"/>
              </w:rPr>
            </w:pPr>
            <w:r>
              <w:rPr>
                <w:rFonts w:ascii="宋体" w:hAnsi="宋体" w:cs="微软雅黑"/>
                <w:sz w:val="18"/>
                <w:szCs w:val="18"/>
              </w:rPr>
              <w:t>SJT 11141-2017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、</w:t>
            </w:r>
            <w:r>
              <w:rPr>
                <w:rFonts w:ascii="宋体" w:hAnsi="宋体" w:cs="微软雅黑"/>
                <w:sz w:val="18"/>
                <w:szCs w:val="18"/>
              </w:rPr>
              <w:t>GB/T 26125-2011</w:t>
            </w:r>
            <w:r>
              <w:rPr>
                <w:rFonts w:hint="eastAsia" w:ascii="宋体" w:hAnsi="宋体" w:cs="微软雅黑"/>
                <w:sz w:val="18"/>
                <w:szCs w:val="18"/>
              </w:rPr>
              <w:t>、GB/</w:t>
            </w:r>
            <w:r>
              <w:rPr>
                <w:rFonts w:ascii="宋体" w:hAnsi="宋体" w:cs="微软雅黑"/>
                <w:sz w:val="18"/>
                <w:szCs w:val="18"/>
              </w:rPr>
              <w:t>T 26572-2001</w:t>
            </w:r>
          </w:p>
        </w:tc>
      </w:tr>
    </w:tbl>
    <w:p>
      <w:pPr>
        <w:pStyle w:val="2"/>
      </w:pPr>
      <w:bookmarkStart w:id="4" w:name="_Toc37950652"/>
      <w:r>
        <w:rPr>
          <w:rFonts w:hint="eastAsia"/>
        </w:rPr>
        <w:t>接口定义</w:t>
      </w:r>
      <w:bookmarkEnd w:id="4"/>
    </w:p>
    <w:tbl>
      <w:tblPr>
        <w:tblStyle w:val="25"/>
        <w:tblpPr w:leftFromText="180" w:rightFromText="180" w:vertAnchor="text" w:horzAnchor="page" w:tblpX="1123" w:tblpY="235"/>
        <w:tblW w:w="96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709"/>
        <w:gridCol w:w="1172"/>
        <w:gridCol w:w="1411"/>
        <w:gridCol w:w="1411"/>
        <w:gridCol w:w="1411"/>
        <w:gridCol w:w="1411"/>
        <w:gridCol w:w="14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1413" w:type="dxa"/>
            <w:gridSpan w:val="2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H</w:t>
            </w:r>
            <w:r>
              <w:rPr>
                <w:rFonts w:ascii="宋体" w:hAnsi="宋体" w:eastAsia="宋体"/>
                <w:sz w:val="21"/>
                <w:szCs w:val="21"/>
                <w:lang w:eastAsia="zh-CN"/>
              </w:rPr>
              <w:t>UB320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引脚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信号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功能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引脚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信号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R1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红色数据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2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G1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绿色数据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3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B1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蓝色数据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4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GND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电源地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5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R2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红色数据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6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G2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绿色数据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7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B2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蓝色数据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8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GND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电源地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10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9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R</w:t>
            </w:r>
            <w:r>
              <w:rPr>
                <w:rFonts w:ascii="宋体" w:hAnsi="宋体" w:cs="Arial"/>
                <w:sz w:val="21"/>
                <w:szCs w:val="21"/>
              </w:rPr>
              <w:t>3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红色数据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10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G3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绿色数据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11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12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11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  <w:r>
              <w:rPr>
                <w:rFonts w:ascii="宋体" w:hAnsi="宋体" w:cs="Arial"/>
                <w:sz w:val="21"/>
                <w:szCs w:val="21"/>
              </w:rPr>
              <w:t>3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蓝色数据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12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GND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电源地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13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14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13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R4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红色数据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14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G4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绿色数据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15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16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15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B4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蓝色数据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16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GND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电源地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1</w:t>
            </w:r>
            <w:r>
              <w:rPr>
                <w:rFonts w:ascii="宋体" w:hAnsi="宋体" w:eastAsia="宋体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1</w:t>
            </w:r>
            <w:r>
              <w:rPr>
                <w:rFonts w:ascii="宋体" w:hAnsi="宋体" w:eastAsia="宋体"/>
                <w:sz w:val="21"/>
                <w:szCs w:val="21"/>
                <w:lang w:eastAsia="zh-CN"/>
              </w:rPr>
              <w:t>8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1</w:t>
            </w:r>
            <w:r>
              <w:rPr>
                <w:rFonts w:ascii="宋体" w:hAnsi="宋体" w:cs="Arial"/>
                <w:sz w:val="21"/>
                <w:szCs w:val="21"/>
              </w:rPr>
              <w:t>7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A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行译码信号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1</w:t>
            </w:r>
            <w:r>
              <w:rPr>
                <w:rFonts w:ascii="宋体" w:hAnsi="宋体" w:cs="Arial"/>
                <w:sz w:val="21"/>
                <w:szCs w:val="21"/>
              </w:rPr>
              <w:t>8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B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行译码信号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1</w:t>
            </w:r>
            <w:r>
              <w:rPr>
                <w:rFonts w:ascii="宋体" w:hAnsi="宋体" w:eastAsia="宋体"/>
                <w:sz w:val="21"/>
                <w:szCs w:val="21"/>
                <w:lang w:eastAsia="zh-CN"/>
              </w:rPr>
              <w:t>9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2</w:t>
            </w:r>
            <w:r>
              <w:rPr>
                <w:rFonts w:ascii="宋体" w:hAnsi="宋体" w:eastAsia="宋体"/>
                <w:sz w:val="21"/>
                <w:szCs w:val="21"/>
                <w:lang w:eastAsia="zh-CN"/>
              </w:rPr>
              <w:t>0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1</w:t>
            </w:r>
            <w:r>
              <w:rPr>
                <w:rFonts w:ascii="宋体" w:hAnsi="宋体" w:cs="Arial"/>
                <w:sz w:val="21"/>
                <w:szCs w:val="21"/>
              </w:rPr>
              <w:t>9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C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行译码信号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D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行译码信号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2</w:t>
            </w:r>
            <w:r>
              <w:rPr>
                <w:rFonts w:ascii="宋体" w:hAnsi="宋体" w:eastAsia="宋体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2</w:t>
            </w:r>
            <w:r>
              <w:rPr>
                <w:rFonts w:ascii="宋体" w:hAnsi="宋体" w:eastAsia="宋体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1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E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行译码信号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2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GND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电源地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2</w:t>
            </w:r>
            <w:r>
              <w:rPr>
                <w:rFonts w:ascii="宋体" w:hAnsi="宋体" w:eastAsia="宋体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2</w:t>
            </w:r>
            <w:r>
              <w:rPr>
                <w:rFonts w:ascii="宋体" w:hAnsi="宋体" w:eastAsia="宋体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3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CLK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时钟信号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4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LAT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锁存信号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exact"/>
        </w:trPr>
        <w:tc>
          <w:tcPr>
            <w:tcW w:w="704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2</w:t>
            </w:r>
            <w:r>
              <w:rPr>
                <w:rFonts w:ascii="宋体" w:hAnsi="宋体" w:eastAsia="宋体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709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vAlign w:val="center"/>
          </w:tcPr>
          <w:p>
            <w:pPr>
              <w:pStyle w:val="8"/>
              <w:spacing w:before="20"/>
              <w:jc w:val="center"/>
              <w:rPr>
                <w:rFonts w:ascii="宋体" w:hAnsi="宋体" w:eastAsia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eastAsia="zh-CN"/>
              </w:rPr>
              <w:t>2</w:t>
            </w:r>
            <w:r>
              <w:rPr>
                <w:rFonts w:ascii="宋体" w:hAnsi="宋体" w:eastAsia="宋体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1172" w:type="dxa"/>
            <w:tcBorders>
              <w:left w:val="doub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5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OE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使能信号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2</w:t>
            </w:r>
            <w:r>
              <w:rPr>
                <w:rFonts w:ascii="宋体" w:hAnsi="宋体" w:cs="Arial"/>
                <w:sz w:val="21"/>
                <w:szCs w:val="21"/>
              </w:rPr>
              <w:t>6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GND</w:t>
            </w:r>
          </w:p>
        </w:tc>
        <w:tc>
          <w:tcPr>
            <w:tcW w:w="1411" w:type="dxa"/>
            <w:vAlign w:val="center"/>
          </w:tcPr>
          <w:p>
            <w:pPr>
              <w:spacing w:line="36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电源地</w:t>
            </w:r>
          </w:p>
        </w:tc>
      </w:tr>
    </w:tbl>
    <w:p/>
    <w:p>
      <w:pPr>
        <w:pStyle w:val="2"/>
      </w:pPr>
      <w:bookmarkStart w:id="5" w:name="_Toc37950653"/>
      <w:r>
        <w:rPr>
          <w:rFonts w:hint="eastAsia"/>
        </w:rPr>
        <w:t>型号定义</w:t>
      </w:r>
      <w:bookmarkEnd w:id="5"/>
    </w:p>
    <w:p>
      <w:r>
        <w:object>
          <v:shape id="_x0000_i1025" o:spt="75" type="#_x0000_t75" style="height:186.05pt;width:402.05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11">
            <o:LockedField>false</o:LockedField>
          </o:OLEObject>
        </w:object>
      </w:r>
    </w:p>
    <w:p>
      <w:pPr>
        <w:widowControl/>
        <w:spacing w:line="240" w:lineRule="auto"/>
      </w:pPr>
      <w:r>
        <w:br w:type="page"/>
      </w:r>
    </w:p>
    <w:p>
      <w:pPr>
        <w:pStyle w:val="2"/>
      </w:pPr>
      <w:bookmarkStart w:id="6" w:name="_Toc37950654"/>
      <w:r>
        <w:rPr>
          <w:rFonts w:hint="eastAsia"/>
        </w:rPr>
        <w:t>安装孔位</w:t>
      </w:r>
      <w:bookmarkEnd w:id="6"/>
    </w:p>
    <w:p>
      <w:pPr>
        <w:jc w:val="center"/>
      </w:pPr>
      <w:r>
        <w:object>
          <v:shape id="_x0000_i1026" o:spt="75" type="#_x0000_t75" style="height:312.2pt;width:474.05pt;" o:ole="t" filled="f" o:preferrelative="t" stroked="f" coordsize="21600,21600">
            <v:path/>
            <v:fill on="f" focussize="0,0"/>
            <v:stroke on="f" joinstyle="miter"/>
            <v:imagedata r:id="rId14" cropleft="25303f" croptop="15222f" cropright="20357f" cropbottom="17908f" o:title=""/>
            <o:lock v:ext="edit" aspectratio="t"/>
            <w10:wrap type="none"/>
            <w10:anchorlock/>
          </v:shape>
          <o:OLEObject Type="Embed" ProgID="AutoCAD.Drawing.19" ShapeID="_x0000_i1026" DrawAspect="Content" ObjectID="_1468075726" r:id="rId13">
            <o:LockedField>false</o:LockedField>
          </o:OLEObject>
        </w:object>
      </w:r>
    </w:p>
    <w:p/>
    <w:p>
      <w:pPr>
        <w:pStyle w:val="2"/>
      </w:pPr>
      <w:bookmarkStart w:id="7" w:name="_Toc37950655"/>
      <w:r>
        <w:t>产品包装</w:t>
      </w:r>
      <w:bookmarkEnd w:id="7"/>
    </w:p>
    <w:p/>
    <w:p>
      <w:bookmarkStart w:id="12" w:name="_GoBack"/>
      <w:r>
        <w:rPr>
          <w:rFonts w:ascii="微软雅黑"/>
          <w:b/>
          <w:sz w:val="3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102235</wp:posOffset>
            </wp:positionV>
            <wp:extent cx="2348865" cy="176212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2"/>
    </w:p>
    <w:p>
      <w:pPr>
        <w:pStyle w:val="8"/>
        <w:spacing w:line="480" w:lineRule="auto"/>
        <w:ind w:firstLine="560" w:firstLineChars="20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包装说明：包装采用优质纸箱，内含珍珠棉与卡纸护角，有效避免在搬运，运输途中由于碰撞导致的产品损伤。</w:t>
      </w:r>
    </w:p>
    <w:p>
      <w:pPr>
        <w:widowControl/>
        <w:spacing w:line="240" w:lineRule="auto"/>
      </w:pPr>
      <w:r>
        <w:br w:type="page"/>
      </w:r>
    </w:p>
    <w:p>
      <w:pPr>
        <w:pStyle w:val="2"/>
      </w:pPr>
      <w:bookmarkStart w:id="8" w:name="_Toc37950656"/>
      <w:r>
        <w:rPr>
          <w:rFonts w:hint="eastAsia"/>
        </w:rPr>
        <w:t>箱体外观</w:t>
      </w:r>
      <w:bookmarkEnd w:id="8"/>
    </w:p>
    <w:p>
      <w:r>
        <w:drawing>
          <wp:inline distT="0" distB="0" distL="0" distR="0">
            <wp:extent cx="2545080" cy="3933825"/>
            <wp:effectExtent l="0" t="0" r="0" b="0"/>
            <wp:docPr id="41" name="图片 41" descr="C:\Users\LP\AppData\Local\Microsoft\Windows\INetCache\Content.Word\箱体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LP\AppData\Local\Microsoft\Windows\INetCache\Content.Word\箱体正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48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73985" cy="3804285"/>
            <wp:effectExtent l="0" t="0" r="0" b="5715"/>
            <wp:docPr id="44" name="图片 44" descr="C:\Users\LP\AppData\Local\Microsoft\Windows\INetCache\Content.Word\箱体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LP\AppData\Local\Microsoft\Windows\INetCache\Content.Word\箱体背面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53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ascii="宋体" w:hAnsi="Calibri" w:cs="宋体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2789555</wp:posOffset>
            </wp:positionH>
            <wp:positionV relativeFrom="paragraph">
              <wp:posOffset>481330</wp:posOffset>
            </wp:positionV>
            <wp:extent cx="2697480" cy="2111375"/>
            <wp:effectExtent l="0" t="0" r="7620" b="317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Calibri" w:cs="宋体"/>
          <w:sz w:val="18"/>
          <w:szCs w:val="18"/>
        </w:rPr>
        <w:drawing>
          <wp:inline distT="0" distB="0" distL="0" distR="0">
            <wp:extent cx="2834640" cy="257937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8868" cy="26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Calibri" w:cs="宋体"/>
          <w:sz w:val="18"/>
          <w:szCs w:val="18"/>
        </w:rPr>
        <w:drawing>
          <wp:inline distT="0" distB="0" distL="0" distR="0">
            <wp:extent cx="3093085" cy="6604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rcRect t="21083"/>
                    <a:stretch>
                      <a:fillRect/>
                    </a:stretch>
                  </pic:blipFill>
                  <pic:spPr>
                    <a:xfrm>
                      <a:off x="0" y="0"/>
                      <a:ext cx="3282602" cy="7009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   </w:t>
      </w:r>
    </w:p>
    <w:p>
      <w:pPr>
        <w:widowControl/>
        <w:spacing w:line="240" w:lineRule="auto"/>
      </w:pPr>
      <w:r>
        <w:br w:type="page"/>
      </w:r>
    </w:p>
    <w:p>
      <w:pPr>
        <w:pStyle w:val="2"/>
      </w:pPr>
      <w:bookmarkStart w:id="9" w:name="_Toc37950657"/>
      <w:r>
        <w:rPr>
          <w:rFonts w:hint="eastAsia"/>
        </w:rPr>
        <w:t>安装方式</w:t>
      </w:r>
      <w:bookmarkEnd w:id="9"/>
    </w:p>
    <w:p>
      <w:pPr>
        <w:jc w:val="center"/>
      </w:pPr>
      <w:r>
        <w:drawing>
          <wp:inline distT="0" distB="0" distL="0" distR="0">
            <wp:extent cx="5544185" cy="676084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676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widowControl/>
        <w:spacing w:line="240" w:lineRule="auto"/>
      </w:pPr>
      <w:r>
        <w:br w:type="page"/>
      </w:r>
    </w:p>
    <w:p>
      <w:pPr>
        <w:pStyle w:val="2"/>
      </w:pPr>
      <w:bookmarkStart w:id="10" w:name="_Toc37950658"/>
      <w:r>
        <w:rPr>
          <w:rFonts w:hint="eastAsia"/>
        </w:rPr>
        <w:t>注意事项</w:t>
      </w:r>
      <w:bookmarkEnd w:id="10"/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温度范围：工作温度控制在-20-50℃；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 xml:space="preserve">          存储温度控制在-10-30℃；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湿度范围：工作湿度控制在10%-65%RH；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 xml:space="preserve">          存储湿度控制在10%-60%RH；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防水：户内产品防护等级较低为IP30，遇水容易引起电路短路，导致线路板及元器件损坏；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防尘：户内产品防护等级较低为IP30，显示屏暴露在灰尘较多的环境中，易引起电路短路，导致线路板及元器件损坏；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防电磁辐射：显示屏不宜放置在电磁辐射干扰较大的环境中，易引起画面显示异常；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ascii="宋体" w:hAnsi="宋体" w:eastAsia="宋体"/>
          <w:sz w:val="28"/>
          <w:szCs w:val="28"/>
          <w:lang w:eastAsia="zh-CN"/>
        </w:rPr>
        <w:t>防静电</w:t>
      </w:r>
      <w:r>
        <w:rPr>
          <w:rFonts w:hint="eastAsia" w:ascii="宋体" w:hAnsi="宋体" w:eastAsia="宋体"/>
          <w:sz w:val="28"/>
          <w:szCs w:val="28"/>
          <w:lang w:eastAsia="zh-CN"/>
        </w:rPr>
        <w:t>：电源、箱体、屏体金属外壳需接地良好，接地电阻＜10Ω，避免静电对电子器件造成损坏；</w:t>
      </w:r>
    </w:p>
    <w:p>
      <w:pPr>
        <w:pStyle w:val="2"/>
      </w:pPr>
      <w:bookmarkStart w:id="11" w:name="_Toc37950659"/>
      <w:r>
        <w:rPr>
          <w:rFonts w:hint="eastAsia"/>
        </w:rPr>
        <w:t>使用说明</w:t>
      </w:r>
      <w:bookmarkEnd w:id="11"/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静电防护：安装人员需佩戴静电环及静电手套，装配过程中各工具需严格接地处理；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连线方式：模组有正负极丝印标识，不能接反，且严禁接入220V交流电；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作业方式：严禁在通电的情况下组装模组、箱体、整屏，需在完全断电的情况下操作，保护人身安全；显示屏在点亮时禁止人员触摸，以免人体摩擦产生的静电击穿LED及元器件；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拆装与运输：不得摔、推、挤、压模组，防止模组跌落磕碰，以免发生套件破裂、损坏灯珠等问题；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环境检查：显示屏现场需配置温湿度计，监控屏体周围环境，为及时发现显示屏是否有受潮、水气等问题；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显示屏的使用：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A、环境湿度在10%-65%RH范围内，建议每天要开屏一次，每次正常使用4小时以上来除去显示屏的湿气；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B、环境湿度在65%RH以上时，需对环境进行除湿处理，并建议每天正常使用8小时以上，关好门窗，以防显示屏受潮引起不良；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C：当显示屏长时间未使用时，使用前需对显示屏预热除湿，避免受潮引起灯管不良，具体方式：20%亮度点亮2小时，40%亮度点亮2小时，60%亮度点亮2小时，80%亮度点亮2小时，100亮度点亮2小时，以此亮度逐级递增老化。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13、显示屏验收要求及方法</w:t>
      </w:r>
    </w:p>
    <w:p>
      <w:pPr>
        <w:pStyle w:val="8"/>
        <w:spacing w:line="480" w:lineRule="auto"/>
        <w:ind w:left="240"/>
        <w:rPr>
          <w:rFonts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屏体亮度：将显示屏调成全亮状态，10分钟内用光枪完成显示屏亮度测量。测量亮度时，要求光枪垂直于屏体。调整光枪与显示屏的距离，确保观察窗口黑色位置覆盖16个像素点以上，调整焦距使目镜内可清晰看到LED灯珠，然后测量并读取亮度数据。</w:t>
      </w:r>
    </w:p>
    <w:p>
      <w:pPr>
        <w:pStyle w:val="8"/>
        <w:spacing w:line="480" w:lineRule="auto"/>
        <w:ind w:left="24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可视角度：测量时人站在屏体左右1</w:t>
      </w:r>
      <w:r>
        <w:rPr>
          <w:rFonts w:ascii="宋体" w:hAnsi="宋体" w:eastAsia="宋体"/>
          <w:sz w:val="28"/>
          <w:szCs w:val="28"/>
          <w:lang w:eastAsia="zh-CN"/>
        </w:rPr>
        <w:t>6</w:t>
      </w:r>
      <w:r>
        <w:rPr>
          <w:rFonts w:hint="eastAsia" w:ascii="宋体" w:hAnsi="宋体" w:eastAsia="宋体"/>
          <w:sz w:val="28"/>
          <w:szCs w:val="28"/>
          <w:lang w:eastAsia="zh-CN"/>
        </w:rPr>
        <w:t>0°、屏体下视角</w:t>
      </w:r>
      <w:r>
        <w:rPr>
          <w:rFonts w:ascii="宋体" w:hAnsi="宋体" w:eastAsia="宋体"/>
          <w:sz w:val="28"/>
          <w:szCs w:val="28"/>
          <w:lang w:eastAsia="zh-CN"/>
        </w:rPr>
        <w:t>80</w:t>
      </w:r>
      <w:r>
        <w:rPr>
          <w:rFonts w:hint="eastAsia" w:ascii="宋体" w:hAnsi="宋体" w:eastAsia="宋体"/>
          <w:sz w:val="28"/>
          <w:szCs w:val="28"/>
          <w:lang w:eastAsia="zh-CN"/>
        </w:rPr>
        <w:t>°位置观察，要求屏体无明显黑斑、无明显暗块问题。</w:t>
      </w:r>
    </w:p>
    <w:p>
      <w:pPr>
        <w:pStyle w:val="8"/>
        <w:spacing w:line="480" w:lineRule="auto"/>
        <w:ind w:left="-142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温馨提示：注意保护环境，废旧品请勿随意丢弃，在使用过程中如遇任何问题，请与我们联系。</w:t>
      </w:r>
    </w:p>
    <w:p/>
    <w:sectPr>
      <w:headerReference r:id="rId5" w:type="default"/>
      <w:pgSz w:w="11906" w:h="16838"/>
      <w:pgMar w:top="1361" w:right="1361" w:bottom="1361" w:left="1814" w:header="871" w:footer="969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rif">
    <w:altName w:val="Adobe 仿宋 Std R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张海山锐线体简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思源黑体 CN Bold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pBdr>
        <w:top w:val="none" w:color="auto" w:sz="0" w:space="0"/>
        <w:left w:val="none" w:color="auto" w:sz="0" w:space="0"/>
        <w:bottom w:val="single" w:color="auto" w:sz="4" w:space="1"/>
        <w:right w:val="none" w:color="auto" w:sz="0" w:space="0"/>
      </w:pBdr>
      <w:adjustRightInd w:val="0"/>
      <w:ind w:right="180"/>
      <w:jc w:val="center"/>
    </w:pPr>
    <w:r>
      <w:t xml:space="preserve">                                                  LED-P1.25-1010-256×128-64S-V1.0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2C38ED"/>
    <w:multiLevelType w:val="multilevel"/>
    <w:tmpl w:val="1E2C38ED"/>
    <w:lvl w:ilvl="0" w:tentative="0">
      <w:start w:val="1"/>
      <w:numFmt w:val="bullet"/>
      <w:lvlText w:val="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">
    <w:nsid w:val="1ED9253C"/>
    <w:multiLevelType w:val="multilevel"/>
    <w:tmpl w:val="1ED9253C"/>
    <w:lvl w:ilvl="0" w:tentative="0">
      <w:start w:val="1"/>
      <w:numFmt w:val="decimal"/>
      <w:pStyle w:val="2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lvlText w:val="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45"/>
      <w:lvlText w:val="%2.%3.%4.%5.%6.%7.%8.%9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EyZGE4ZWQ4NzlhNjYwZmIyNTJmMDdmOWU1NzlmNjkifQ=="/>
  </w:docVars>
  <w:rsids>
    <w:rsidRoot w:val="00FF52A3"/>
    <w:rsid w:val="000104FF"/>
    <w:rsid w:val="0002068E"/>
    <w:rsid w:val="000236EF"/>
    <w:rsid w:val="000304A2"/>
    <w:rsid w:val="00057C6B"/>
    <w:rsid w:val="000771A0"/>
    <w:rsid w:val="000866BA"/>
    <w:rsid w:val="0008791E"/>
    <w:rsid w:val="000A05E1"/>
    <w:rsid w:val="000B2937"/>
    <w:rsid w:val="000E1BD8"/>
    <w:rsid w:val="000F794E"/>
    <w:rsid w:val="00100F2D"/>
    <w:rsid w:val="00104E7A"/>
    <w:rsid w:val="00114D3D"/>
    <w:rsid w:val="00117E78"/>
    <w:rsid w:val="00122350"/>
    <w:rsid w:val="001241D1"/>
    <w:rsid w:val="00130ECD"/>
    <w:rsid w:val="001310FF"/>
    <w:rsid w:val="00145309"/>
    <w:rsid w:val="00146C65"/>
    <w:rsid w:val="00173FFD"/>
    <w:rsid w:val="00182F8F"/>
    <w:rsid w:val="0018349E"/>
    <w:rsid w:val="001835B5"/>
    <w:rsid w:val="00194B5A"/>
    <w:rsid w:val="001A0ACF"/>
    <w:rsid w:val="001A5515"/>
    <w:rsid w:val="001B3FE7"/>
    <w:rsid w:val="001C15B9"/>
    <w:rsid w:val="001C2847"/>
    <w:rsid w:val="001C52F5"/>
    <w:rsid w:val="001D06B8"/>
    <w:rsid w:val="001E3882"/>
    <w:rsid w:val="001E7660"/>
    <w:rsid w:val="001F03DA"/>
    <w:rsid w:val="001F069E"/>
    <w:rsid w:val="00206FB8"/>
    <w:rsid w:val="00214F67"/>
    <w:rsid w:val="002271DF"/>
    <w:rsid w:val="002302F0"/>
    <w:rsid w:val="00235397"/>
    <w:rsid w:val="0023656F"/>
    <w:rsid w:val="00245D88"/>
    <w:rsid w:val="00265EDA"/>
    <w:rsid w:val="0027465B"/>
    <w:rsid w:val="002752F5"/>
    <w:rsid w:val="00281275"/>
    <w:rsid w:val="002813F5"/>
    <w:rsid w:val="0028247D"/>
    <w:rsid w:val="0029167D"/>
    <w:rsid w:val="002C2CE0"/>
    <w:rsid w:val="002C65E4"/>
    <w:rsid w:val="002D6556"/>
    <w:rsid w:val="002E2751"/>
    <w:rsid w:val="003056A5"/>
    <w:rsid w:val="00310C5E"/>
    <w:rsid w:val="00332DC1"/>
    <w:rsid w:val="00355803"/>
    <w:rsid w:val="00364A0E"/>
    <w:rsid w:val="00390302"/>
    <w:rsid w:val="00391546"/>
    <w:rsid w:val="00392553"/>
    <w:rsid w:val="00392F49"/>
    <w:rsid w:val="003A0125"/>
    <w:rsid w:val="003A261B"/>
    <w:rsid w:val="003B019B"/>
    <w:rsid w:val="003D04AF"/>
    <w:rsid w:val="003D67A8"/>
    <w:rsid w:val="003D6B7B"/>
    <w:rsid w:val="003D73B9"/>
    <w:rsid w:val="00401E62"/>
    <w:rsid w:val="004039C3"/>
    <w:rsid w:val="004215B4"/>
    <w:rsid w:val="004227BD"/>
    <w:rsid w:val="00433351"/>
    <w:rsid w:val="0043463E"/>
    <w:rsid w:val="00436D86"/>
    <w:rsid w:val="00464E02"/>
    <w:rsid w:val="0046503E"/>
    <w:rsid w:val="004A087D"/>
    <w:rsid w:val="004A5063"/>
    <w:rsid w:val="004A653B"/>
    <w:rsid w:val="004C4F11"/>
    <w:rsid w:val="004D3285"/>
    <w:rsid w:val="004F1F83"/>
    <w:rsid w:val="00505A55"/>
    <w:rsid w:val="005064B1"/>
    <w:rsid w:val="00526F0C"/>
    <w:rsid w:val="00536D53"/>
    <w:rsid w:val="005449EC"/>
    <w:rsid w:val="00545014"/>
    <w:rsid w:val="005453E9"/>
    <w:rsid w:val="005515CF"/>
    <w:rsid w:val="0055305E"/>
    <w:rsid w:val="00556D4E"/>
    <w:rsid w:val="00562E26"/>
    <w:rsid w:val="005648DD"/>
    <w:rsid w:val="005763A3"/>
    <w:rsid w:val="005774DD"/>
    <w:rsid w:val="005811A6"/>
    <w:rsid w:val="00587F68"/>
    <w:rsid w:val="00592E25"/>
    <w:rsid w:val="005B408D"/>
    <w:rsid w:val="005C67EE"/>
    <w:rsid w:val="005C78F4"/>
    <w:rsid w:val="005D75DF"/>
    <w:rsid w:val="005E1981"/>
    <w:rsid w:val="00612A41"/>
    <w:rsid w:val="00624562"/>
    <w:rsid w:val="00624ECA"/>
    <w:rsid w:val="00625994"/>
    <w:rsid w:val="00635BBF"/>
    <w:rsid w:val="006403B8"/>
    <w:rsid w:val="00643DD8"/>
    <w:rsid w:val="006500BD"/>
    <w:rsid w:val="00651321"/>
    <w:rsid w:val="00655C38"/>
    <w:rsid w:val="006903EC"/>
    <w:rsid w:val="00690CF9"/>
    <w:rsid w:val="006B18C5"/>
    <w:rsid w:val="006C2095"/>
    <w:rsid w:val="006C7F8F"/>
    <w:rsid w:val="006D7B0A"/>
    <w:rsid w:val="006F3D3A"/>
    <w:rsid w:val="006F588B"/>
    <w:rsid w:val="007202E6"/>
    <w:rsid w:val="007307A2"/>
    <w:rsid w:val="007400CE"/>
    <w:rsid w:val="00744EB7"/>
    <w:rsid w:val="00764BF8"/>
    <w:rsid w:val="00773BF5"/>
    <w:rsid w:val="0079062F"/>
    <w:rsid w:val="007921C7"/>
    <w:rsid w:val="007A59B3"/>
    <w:rsid w:val="007B5AEE"/>
    <w:rsid w:val="007B7E48"/>
    <w:rsid w:val="007F564A"/>
    <w:rsid w:val="007F61E6"/>
    <w:rsid w:val="00801DB8"/>
    <w:rsid w:val="0081330C"/>
    <w:rsid w:val="008237F9"/>
    <w:rsid w:val="0084333A"/>
    <w:rsid w:val="00843FB1"/>
    <w:rsid w:val="00844B63"/>
    <w:rsid w:val="0087199C"/>
    <w:rsid w:val="00880EB8"/>
    <w:rsid w:val="0088331A"/>
    <w:rsid w:val="008A5DB6"/>
    <w:rsid w:val="008C2762"/>
    <w:rsid w:val="008C51B5"/>
    <w:rsid w:val="00900437"/>
    <w:rsid w:val="009006E7"/>
    <w:rsid w:val="009153F6"/>
    <w:rsid w:val="009172A5"/>
    <w:rsid w:val="00936014"/>
    <w:rsid w:val="00953D3B"/>
    <w:rsid w:val="009548BB"/>
    <w:rsid w:val="00955427"/>
    <w:rsid w:val="0095746A"/>
    <w:rsid w:val="0096393D"/>
    <w:rsid w:val="0097071B"/>
    <w:rsid w:val="009725CA"/>
    <w:rsid w:val="0097673F"/>
    <w:rsid w:val="00991AFE"/>
    <w:rsid w:val="009945EA"/>
    <w:rsid w:val="009A78F8"/>
    <w:rsid w:val="009B3AFB"/>
    <w:rsid w:val="009B5596"/>
    <w:rsid w:val="009D396F"/>
    <w:rsid w:val="009D3E7E"/>
    <w:rsid w:val="009D49C0"/>
    <w:rsid w:val="009D5A0B"/>
    <w:rsid w:val="009D5C53"/>
    <w:rsid w:val="009E4473"/>
    <w:rsid w:val="009E7E93"/>
    <w:rsid w:val="009F7A76"/>
    <w:rsid w:val="00A04F78"/>
    <w:rsid w:val="00A17E2F"/>
    <w:rsid w:val="00A27D16"/>
    <w:rsid w:val="00A31B2C"/>
    <w:rsid w:val="00A32D69"/>
    <w:rsid w:val="00A46D9B"/>
    <w:rsid w:val="00A64497"/>
    <w:rsid w:val="00A765C9"/>
    <w:rsid w:val="00A77E63"/>
    <w:rsid w:val="00A83D22"/>
    <w:rsid w:val="00AB6B8A"/>
    <w:rsid w:val="00AC11DB"/>
    <w:rsid w:val="00AD29ED"/>
    <w:rsid w:val="00AD3D4D"/>
    <w:rsid w:val="00AE5375"/>
    <w:rsid w:val="00AF64BE"/>
    <w:rsid w:val="00AF6F5A"/>
    <w:rsid w:val="00B05363"/>
    <w:rsid w:val="00B24C80"/>
    <w:rsid w:val="00B362F0"/>
    <w:rsid w:val="00B53E90"/>
    <w:rsid w:val="00B7658C"/>
    <w:rsid w:val="00B924ED"/>
    <w:rsid w:val="00B95030"/>
    <w:rsid w:val="00BB7EA1"/>
    <w:rsid w:val="00BC28B6"/>
    <w:rsid w:val="00BC4190"/>
    <w:rsid w:val="00BF5F29"/>
    <w:rsid w:val="00C30D91"/>
    <w:rsid w:val="00C626A3"/>
    <w:rsid w:val="00C84A74"/>
    <w:rsid w:val="00CA667A"/>
    <w:rsid w:val="00CD00CF"/>
    <w:rsid w:val="00CE3F37"/>
    <w:rsid w:val="00D01E4F"/>
    <w:rsid w:val="00D12094"/>
    <w:rsid w:val="00D36181"/>
    <w:rsid w:val="00D54249"/>
    <w:rsid w:val="00D73004"/>
    <w:rsid w:val="00D7378F"/>
    <w:rsid w:val="00D76F33"/>
    <w:rsid w:val="00D846DD"/>
    <w:rsid w:val="00DA4A8C"/>
    <w:rsid w:val="00DB4F6E"/>
    <w:rsid w:val="00DD0D06"/>
    <w:rsid w:val="00DE0247"/>
    <w:rsid w:val="00DF3569"/>
    <w:rsid w:val="00E14BD1"/>
    <w:rsid w:val="00E23B63"/>
    <w:rsid w:val="00E334D9"/>
    <w:rsid w:val="00E35378"/>
    <w:rsid w:val="00E66C75"/>
    <w:rsid w:val="00E82B1C"/>
    <w:rsid w:val="00E951C2"/>
    <w:rsid w:val="00EA2341"/>
    <w:rsid w:val="00EB5FEB"/>
    <w:rsid w:val="00EC3BCA"/>
    <w:rsid w:val="00ED1271"/>
    <w:rsid w:val="00EE4071"/>
    <w:rsid w:val="00EE5A93"/>
    <w:rsid w:val="00EE5C6F"/>
    <w:rsid w:val="00EF29FC"/>
    <w:rsid w:val="00EF4A5C"/>
    <w:rsid w:val="00F05FAA"/>
    <w:rsid w:val="00F16BA5"/>
    <w:rsid w:val="00F22DF9"/>
    <w:rsid w:val="00F23B72"/>
    <w:rsid w:val="00F63E43"/>
    <w:rsid w:val="00F70868"/>
    <w:rsid w:val="00F90BEE"/>
    <w:rsid w:val="00F912A1"/>
    <w:rsid w:val="00F94145"/>
    <w:rsid w:val="00FA6AC7"/>
    <w:rsid w:val="00FB2BEB"/>
    <w:rsid w:val="00FD3D9D"/>
    <w:rsid w:val="00FE74A9"/>
    <w:rsid w:val="00FF52A3"/>
    <w:rsid w:val="012C456F"/>
    <w:rsid w:val="04330766"/>
    <w:rsid w:val="06515255"/>
    <w:rsid w:val="06AF4D74"/>
    <w:rsid w:val="0989390C"/>
    <w:rsid w:val="0D5666D7"/>
    <w:rsid w:val="0ECF3147"/>
    <w:rsid w:val="10F61B6D"/>
    <w:rsid w:val="11D03F81"/>
    <w:rsid w:val="11F657BA"/>
    <w:rsid w:val="168C3C18"/>
    <w:rsid w:val="20F36EA6"/>
    <w:rsid w:val="23D93D16"/>
    <w:rsid w:val="2412793C"/>
    <w:rsid w:val="2D0C7818"/>
    <w:rsid w:val="322254F0"/>
    <w:rsid w:val="33550511"/>
    <w:rsid w:val="42C8799B"/>
    <w:rsid w:val="43083AD9"/>
    <w:rsid w:val="45053EA3"/>
    <w:rsid w:val="47912423"/>
    <w:rsid w:val="48E82916"/>
    <w:rsid w:val="49E704AA"/>
    <w:rsid w:val="4A38415E"/>
    <w:rsid w:val="4BC675C1"/>
    <w:rsid w:val="57A42795"/>
    <w:rsid w:val="588B5B1C"/>
    <w:rsid w:val="5C4F4828"/>
    <w:rsid w:val="636B2A74"/>
    <w:rsid w:val="645211DE"/>
    <w:rsid w:val="7326521B"/>
    <w:rsid w:val="76894785"/>
    <w:rsid w:val="7A376E40"/>
    <w:rsid w:val="7A8466E2"/>
    <w:rsid w:val="7FAE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qFormat="1"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</w:pPr>
    <w:rPr>
      <w:rFonts w:ascii="Arial" w:hAnsi="Arial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240" w:lineRule="auto"/>
      <w:outlineLvl w:val="0"/>
    </w:pPr>
    <w:rPr>
      <w:rFonts w:eastAsia="微软雅黑"/>
      <w:b/>
      <w:bCs/>
      <w:kern w:val="44"/>
      <w:sz w:val="32"/>
      <w:szCs w:val="32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outlineLvl w:val="1"/>
    </w:pPr>
    <w:rPr>
      <w:rFonts w:eastAsia="微软雅黑"/>
      <w:b/>
      <w:bCs/>
      <w:sz w:val="32"/>
      <w:szCs w:val="32"/>
    </w:rPr>
  </w:style>
  <w:style w:type="paragraph" w:styleId="4">
    <w:name w:val="heading 3"/>
    <w:basedOn w:val="1"/>
    <w:next w:val="1"/>
    <w:link w:val="46"/>
    <w:unhideWhenUsed/>
    <w:qFormat/>
    <w:uiPriority w:val="0"/>
    <w:pPr>
      <w:keepNext/>
      <w:keepLines/>
      <w:numPr>
        <w:ilvl w:val="2"/>
        <w:numId w:val="1"/>
      </w:numPr>
      <w:outlineLvl w:val="2"/>
    </w:pPr>
    <w:rPr>
      <w:rFonts w:eastAsia="微软雅黑"/>
      <w:b/>
      <w:bCs/>
      <w:sz w:val="32"/>
      <w:szCs w:val="32"/>
    </w:rPr>
  </w:style>
  <w:style w:type="character" w:default="1" w:styleId="30">
    <w:name w:val="Default Paragraph Font"/>
    <w:semiHidden/>
    <w:unhideWhenUsed/>
    <w:uiPriority w:val="1"/>
  </w:style>
  <w:style w:type="table" w:default="1" w:styleId="2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iPriority w:val="0"/>
    <w:pPr>
      <w:ind w:left="1440"/>
    </w:pPr>
    <w:rPr>
      <w:rFonts w:ascii="等线" w:eastAsia="等线"/>
      <w:sz w:val="18"/>
      <w:szCs w:val="18"/>
    </w:rPr>
  </w:style>
  <w:style w:type="paragraph" w:styleId="6">
    <w:name w:val="Normal Indent"/>
    <w:basedOn w:val="1"/>
    <w:unhideWhenUsed/>
    <w:uiPriority w:val="99"/>
    <w:pPr>
      <w:spacing w:line="240" w:lineRule="auto"/>
      <w:ind w:firstLine="420"/>
      <w:jc w:val="both"/>
    </w:pPr>
    <w:rPr>
      <w:rFonts w:ascii="Times New Roman" w:hAnsi="Times New Roman"/>
      <w:sz w:val="21"/>
      <w:szCs w:val="20"/>
    </w:rPr>
  </w:style>
  <w:style w:type="paragraph" w:styleId="7">
    <w:name w:val="annotation text"/>
    <w:basedOn w:val="1"/>
    <w:link w:val="53"/>
    <w:uiPriority w:val="0"/>
  </w:style>
  <w:style w:type="paragraph" w:styleId="8">
    <w:name w:val="Body Text"/>
    <w:basedOn w:val="1"/>
    <w:link w:val="56"/>
    <w:qFormat/>
    <w:uiPriority w:val="1"/>
    <w:pPr>
      <w:autoSpaceDE w:val="0"/>
      <w:autoSpaceDN w:val="0"/>
      <w:spacing w:line="240" w:lineRule="auto"/>
    </w:pPr>
    <w:rPr>
      <w:rFonts w:ascii="张海山锐线体简" w:hAnsi="张海山锐线体简" w:eastAsia="张海山锐线体简" w:cs="张海山锐线体简"/>
      <w:kern w:val="0"/>
      <w:lang w:eastAsia="en-US" w:bidi="en-US"/>
    </w:rPr>
  </w:style>
  <w:style w:type="paragraph" w:styleId="9">
    <w:name w:val="toc 5"/>
    <w:basedOn w:val="1"/>
    <w:next w:val="1"/>
    <w:qFormat/>
    <w:uiPriority w:val="0"/>
    <w:pPr>
      <w:ind w:left="960"/>
    </w:pPr>
    <w:rPr>
      <w:rFonts w:ascii="等线" w:eastAsia="等线"/>
      <w:sz w:val="18"/>
      <w:szCs w:val="18"/>
    </w:rPr>
  </w:style>
  <w:style w:type="paragraph" w:styleId="10">
    <w:name w:val="toc 3"/>
    <w:basedOn w:val="1"/>
    <w:next w:val="1"/>
    <w:qFormat/>
    <w:uiPriority w:val="39"/>
    <w:pPr>
      <w:ind w:left="480"/>
    </w:pPr>
    <w:rPr>
      <w:rFonts w:ascii="等线" w:eastAsia="等线"/>
      <w:i/>
      <w:iCs/>
      <w:sz w:val="20"/>
      <w:szCs w:val="20"/>
    </w:rPr>
  </w:style>
  <w:style w:type="paragraph" w:styleId="11">
    <w:name w:val="toc 8"/>
    <w:basedOn w:val="1"/>
    <w:next w:val="1"/>
    <w:uiPriority w:val="0"/>
    <w:pPr>
      <w:ind w:left="1680"/>
    </w:pPr>
    <w:rPr>
      <w:rFonts w:ascii="等线" w:eastAsia="等线"/>
      <w:sz w:val="18"/>
      <w:szCs w:val="18"/>
    </w:rPr>
  </w:style>
  <w:style w:type="paragraph" w:styleId="12">
    <w:name w:val="Date"/>
    <w:basedOn w:val="1"/>
    <w:next w:val="1"/>
    <w:qFormat/>
    <w:uiPriority w:val="0"/>
    <w:pPr>
      <w:ind w:left="100" w:leftChars="2500"/>
    </w:pPr>
  </w:style>
  <w:style w:type="paragraph" w:styleId="13">
    <w:name w:val="Balloon Text"/>
    <w:basedOn w:val="1"/>
    <w:link w:val="55"/>
    <w:qFormat/>
    <w:uiPriority w:val="0"/>
    <w:pPr>
      <w:spacing w:line="240" w:lineRule="auto"/>
    </w:pPr>
    <w:rPr>
      <w:sz w:val="18"/>
      <w:szCs w:val="18"/>
    </w:rPr>
  </w:style>
  <w:style w:type="paragraph" w:styleId="14">
    <w:name w:val="footer"/>
    <w:basedOn w:val="1"/>
    <w:link w:val="52"/>
    <w:qFormat/>
    <w:uiPriority w:val="99"/>
    <w:pPr>
      <w:pBdr>
        <w:top w:val="single" w:color="auto" w:sz="4" w:space="1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16">
    <w:name w:val="toc 1"/>
    <w:basedOn w:val="1"/>
    <w:next w:val="1"/>
    <w:qFormat/>
    <w:uiPriority w:val="39"/>
    <w:pPr>
      <w:spacing w:before="120" w:after="120"/>
    </w:pPr>
    <w:rPr>
      <w:rFonts w:ascii="等线" w:eastAsia="等线"/>
      <w:b/>
      <w:bCs/>
      <w:caps/>
      <w:sz w:val="20"/>
      <w:szCs w:val="20"/>
    </w:rPr>
  </w:style>
  <w:style w:type="paragraph" w:styleId="17">
    <w:name w:val="toc 4"/>
    <w:basedOn w:val="1"/>
    <w:next w:val="1"/>
    <w:qFormat/>
    <w:uiPriority w:val="0"/>
    <w:pPr>
      <w:ind w:left="720"/>
    </w:pPr>
    <w:rPr>
      <w:rFonts w:ascii="等线" w:eastAsia="等线"/>
      <w:sz w:val="18"/>
      <w:szCs w:val="18"/>
    </w:rPr>
  </w:style>
  <w:style w:type="paragraph" w:styleId="18">
    <w:name w:val="Subtitle"/>
    <w:basedOn w:val="1"/>
    <w:next w:val="1"/>
    <w:link w:val="49"/>
    <w:qFormat/>
    <w:uiPriority w:val="0"/>
    <w:pPr>
      <w:spacing w:before="240" w:after="60" w:line="312" w:lineRule="auto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paragraph" w:styleId="19">
    <w:name w:val="toc 6"/>
    <w:basedOn w:val="1"/>
    <w:next w:val="1"/>
    <w:qFormat/>
    <w:uiPriority w:val="0"/>
    <w:pPr>
      <w:ind w:left="1200"/>
    </w:pPr>
    <w:rPr>
      <w:rFonts w:ascii="等线" w:eastAsia="等线"/>
      <w:sz w:val="18"/>
      <w:szCs w:val="18"/>
    </w:rPr>
  </w:style>
  <w:style w:type="paragraph" w:styleId="20">
    <w:name w:val="toc 2"/>
    <w:basedOn w:val="1"/>
    <w:next w:val="1"/>
    <w:qFormat/>
    <w:uiPriority w:val="39"/>
    <w:pPr>
      <w:ind w:left="240"/>
    </w:pPr>
    <w:rPr>
      <w:rFonts w:ascii="等线" w:eastAsia="等线"/>
      <w:smallCaps/>
      <w:sz w:val="20"/>
      <w:szCs w:val="20"/>
    </w:rPr>
  </w:style>
  <w:style w:type="paragraph" w:styleId="21">
    <w:name w:val="toc 9"/>
    <w:basedOn w:val="1"/>
    <w:next w:val="1"/>
    <w:uiPriority w:val="0"/>
    <w:pPr>
      <w:ind w:left="1920"/>
    </w:pPr>
    <w:rPr>
      <w:rFonts w:ascii="等线" w:eastAsia="等线"/>
      <w:sz w:val="18"/>
      <w:szCs w:val="18"/>
    </w:rPr>
  </w:style>
  <w:style w:type="paragraph" w:styleId="22">
    <w:name w:val="Normal (Web)"/>
    <w:basedOn w:val="1"/>
    <w:qFormat/>
    <w:uiPriority w:val="0"/>
    <w:pPr>
      <w:spacing w:before="100" w:beforeAutospacing="1" w:after="100" w:afterAutospacing="1"/>
    </w:pPr>
    <w:rPr>
      <w:kern w:val="0"/>
    </w:rPr>
  </w:style>
  <w:style w:type="paragraph" w:styleId="23">
    <w:name w:val="annotation subject"/>
    <w:basedOn w:val="7"/>
    <w:next w:val="7"/>
    <w:link w:val="54"/>
    <w:qFormat/>
    <w:uiPriority w:val="0"/>
    <w:rPr>
      <w:b/>
      <w:bCs/>
    </w:rPr>
  </w:style>
  <w:style w:type="table" w:styleId="25">
    <w:name w:val="Table Grid"/>
    <w:basedOn w:val="2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6">
    <w:name w:val="Table Theme"/>
    <w:basedOn w:val="24"/>
    <w:qFormat/>
    <w:uiPriority w:val="0"/>
    <w:pPr>
      <w:widowControl w:val="0"/>
      <w:spacing w:line="36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27">
    <w:name w:val="Table Professional"/>
    <w:basedOn w:val="24"/>
    <w:semiHidden/>
    <w:unhideWhenUsed/>
    <w:uiPriority w:val="0"/>
    <w:pPr>
      <w:widowControl w:val="0"/>
      <w:spacing w:line="360" w:lineRule="auto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28">
    <w:name w:val="Light Grid Accent 5"/>
    <w:basedOn w:val="24"/>
    <w:qFormat/>
    <w:uiPriority w:val="62"/>
    <w:tblPr>
      <w:tblBorders>
        <w:top w:val="single" w:color="4472C4" w:sz="8" w:space="0"/>
        <w:left w:val="single" w:color="4472C4" w:sz="8" w:space="0"/>
        <w:bottom w:val="single" w:color="4472C4" w:sz="8" w:space="0"/>
        <w:right w:val="single" w:color="4472C4" w:sz="8" w:space="0"/>
        <w:insideH w:val="single" w:color="4472C4" w:sz="8" w:space="0"/>
        <w:insideV w:val="single" w:color="4472C4" w:sz="8" w:space="0"/>
      </w:tblBorders>
    </w:tblPr>
    <w:tblStylePr w:type="firstRow">
      <w:pPr>
        <w:spacing w:before="0" w:after="0" w:line="240" w:lineRule="auto"/>
      </w:pPr>
      <w:rPr>
        <w:rFonts w:ascii="等线 Light" w:hAnsi="等线 Light" w:eastAsia="等线 Light" w:cs="Times New Roman"/>
        <w:b/>
        <w:bCs/>
      </w:rPr>
      <w:tblPr/>
      <w:tcPr>
        <w:tcBorders>
          <w:top w:val="single" w:color="4472C4" w:sz="8" w:space="0"/>
          <w:left w:val="single" w:color="4472C4" w:sz="8" w:space="0"/>
          <w:bottom w:val="single" w:color="4472C4" w:sz="18" w:space="0"/>
          <w:right w:val="single" w:color="4472C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="等线 Light" w:hAnsi="等线 Light" w:eastAsia="等线 Light" w:cs="Times New Roman"/>
        <w:b/>
        <w:bCs/>
      </w:rPr>
      <w:tblPr/>
      <w:tcPr>
        <w:tcBorders>
          <w:top w:val="double" w:color="4472C4" w:sz="6" w:space="0"/>
          <w:left w:val="single" w:color="4472C4" w:sz="8" w:space="0"/>
          <w:bottom w:val="single" w:color="4472C4" w:sz="8" w:space="0"/>
          <w:right w:val="single" w:color="4472C4" w:sz="8" w:space="0"/>
          <w:insideH w:val="nil"/>
          <w:insideV w:val="single" w:sz="8" w:space="0"/>
        </w:tcBorders>
      </w:tcPr>
    </w:tblStylePr>
    <w:tblStylePr w:type="firstCol">
      <w:rPr>
        <w:rFonts w:ascii="等线 Light" w:hAnsi="等线 Light" w:eastAsia="等线 Light" w:cs="Times New Roman"/>
        <w:b/>
        <w:bCs/>
      </w:rPr>
    </w:tblStylePr>
    <w:tblStylePr w:type="lastCol">
      <w:rPr>
        <w:rFonts w:ascii="等线 Light" w:hAnsi="等线 Light" w:eastAsia="等线 Light" w:cs="Times New Roman"/>
        <w:b/>
        <w:bCs/>
      </w:rPr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</w:tcBorders>
      </w:tcPr>
    </w:tblStylePr>
    <w:tblStylePr w:type="band1Vert"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</w:tcBorders>
        <w:shd w:val="clear" w:color="auto" w:fill="D0DBF0"/>
      </w:tcPr>
    </w:tblStylePr>
    <w:tblStylePr w:type="band1Horz"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  <w:insideV w:val="single" w:sz="8" w:space="0"/>
        </w:tcBorders>
        <w:shd w:val="clear" w:color="auto" w:fill="D0DBF0"/>
      </w:tcPr>
    </w:tblStylePr>
    <w:tblStylePr w:type="band2Horz">
      <w:tblPr/>
      <w:tcPr>
        <w:tcBorders>
          <w:top w:val="single" w:color="4472C4" w:sz="8" w:space="0"/>
          <w:left w:val="single" w:color="4472C4" w:sz="8" w:space="0"/>
          <w:bottom w:val="single" w:color="4472C4" w:sz="8" w:space="0"/>
          <w:right w:val="single" w:color="4472C4" w:sz="8" w:space="0"/>
          <w:insideV w:val="single" w:sz="8" w:space="0"/>
        </w:tcBorders>
      </w:tcPr>
    </w:tblStylePr>
  </w:style>
  <w:style w:type="table" w:styleId="29">
    <w:name w:val="Medium Grid 3 Accent 5"/>
    <w:basedOn w:val="24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sz="8" w:space="0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1B8E1"/>
      </w:tcPr>
    </w:tblStylePr>
  </w:style>
  <w:style w:type="character" w:styleId="31">
    <w:name w:val="Strong"/>
    <w:qFormat/>
    <w:uiPriority w:val="0"/>
    <w:rPr>
      <w:b/>
    </w:rPr>
  </w:style>
  <w:style w:type="character" w:styleId="32">
    <w:name w:val="FollowedHyperlink"/>
    <w:uiPriority w:val="0"/>
    <w:rPr>
      <w:color w:val="338DE6"/>
      <w:u w:val="none"/>
    </w:rPr>
  </w:style>
  <w:style w:type="character" w:styleId="33">
    <w:name w:val="Emphasis"/>
    <w:qFormat/>
    <w:uiPriority w:val="0"/>
  </w:style>
  <w:style w:type="character" w:styleId="34">
    <w:name w:val="HTML Definition"/>
    <w:qFormat/>
    <w:uiPriority w:val="0"/>
  </w:style>
  <w:style w:type="character" w:styleId="35">
    <w:name w:val="HTML Variable"/>
    <w:qFormat/>
    <w:uiPriority w:val="0"/>
  </w:style>
  <w:style w:type="character" w:styleId="36">
    <w:name w:val="Hyperlink"/>
    <w:uiPriority w:val="99"/>
    <w:rPr>
      <w:color w:val="338DE6"/>
      <w:u w:val="none"/>
    </w:rPr>
  </w:style>
  <w:style w:type="character" w:styleId="37">
    <w:name w:val="HTML Code"/>
    <w:uiPriority w:val="0"/>
    <w:rPr>
      <w:rFonts w:hint="default" w:ascii="serif" w:hAnsi="serif" w:eastAsia="serif" w:cs="serif"/>
      <w:sz w:val="21"/>
      <w:szCs w:val="21"/>
    </w:rPr>
  </w:style>
  <w:style w:type="character" w:styleId="38">
    <w:name w:val="annotation reference"/>
    <w:basedOn w:val="30"/>
    <w:uiPriority w:val="0"/>
    <w:rPr>
      <w:sz w:val="21"/>
      <w:szCs w:val="21"/>
    </w:rPr>
  </w:style>
  <w:style w:type="character" w:styleId="39">
    <w:name w:val="HTML Cite"/>
    <w:uiPriority w:val="0"/>
  </w:style>
  <w:style w:type="character" w:styleId="40">
    <w:name w:val="HTML Keyboard"/>
    <w:uiPriority w:val="0"/>
    <w:rPr>
      <w:rFonts w:hint="default" w:ascii="serif" w:hAnsi="serif" w:eastAsia="serif" w:cs="serif"/>
      <w:sz w:val="21"/>
      <w:szCs w:val="21"/>
    </w:rPr>
  </w:style>
  <w:style w:type="character" w:styleId="41">
    <w:name w:val="HTML Sample"/>
    <w:uiPriority w:val="0"/>
    <w:rPr>
      <w:rFonts w:ascii="serif" w:hAnsi="serif" w:eastAsia="serif" w:cs="serif"/>
      <w:sz w:val="21"/>
      <w:szCs w:val="21"/>
    </w:rPr>
  </w:style>
  <w:style w:type="character" w:customStyle="1" w:styleId="42">
    <w:name w:val="fontborder"/>
    <w:qFormat/>
    <w:uiPriority w:val="0"/>
    <w:rPr>
      <w:bdr w:val="single" w:color="000000" w:sz="6" w:space="0"/>
    </w:rPr>
  </w:style>
  <w:style w:type="character" w:customStyle="1" w:styleId="43">
    <w:name w:val="fontstrikethrough"/>
    <w:qFormat/>
    <w:uiPriority w:val="0"/>
    <w:rPr>
      <w:strike/>
    </w:rPr>
  </w:style>
  <w:style w:type="paragraph" w:customStyle="1" w:styleId="44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customStyle="1" w:styleId="45">
    <w:name w:val="标题3"/>
    <w:basedOn w:val="4"/>
    <w:next w:val="1"/>
    <w:link w:val="47"/>
    <w:qFormat/>
    <w:uiPriority w:val="0"/>
    <w:pPr>
      <w:numPr>
        <w:ilvl w:val="8"/>
      </w:numPr>
    </w:pPr>
    <w:rPr>
      <w:sz w:val="28"/>
    </w:rPr>
  </w:style>
  <w:style w:type="character" w:customStyle="1" w:styleId="46">
    <w:name w:val="标题 3 字符"/>
    <w:link w:val="4"/>
    <w:qFormat/>
    <w:uiPriority w:val="0"/>
    <w:rPr>
      <w:rFonts w:ascii="Arial" w:hAnsi="Arial" w:eastAsia="微软雅黑"/>
      <w:b/>
      <w:bCs/>
      <w:kern w:val="2"/>
      <w:sz w:val="32"/>
      <w:szCs w:val="32"/>
    </w:rPr>
  </w:style>
  <w:style w:type="character" w:customStyle="1" w:styleId="47">
    <w:name w:val="标题3 字符"/>
    <w:link w:val="45"/>
    <w:qFormat/>
    <w:uiPriority w:val="0"/>
    <w:rPr>
      <w:rFonts w:ascii="Arial" w:hAnsi="Arial" w:eastAsia="微软雅黑"/>
      <w:b/>
      <w:bCs/>
      <w:kern w:val="2"/>
      <w:sz w:val="28"/>
      <w:szCs w:val="32"/>
    </w:rPr>
  </w:style>
  <w:style w:type="table" w:customStyle="1" w:styleId="48">
    <w:name w:val="Grid Table 4 Accent 5"/>
    <w:basedOn w:val="24"/>
    <w:uiPriority w:val="49"/>
    <w:tblPr>
      <w:tblBorders>
        <w:top w:val="single" w:color="8EAADB" w:sz="4" w:space="0"/>
        <w:left w:val="single" w:color="8EAADB" w:sz="4" w:space="0"/>
        <w:bottom w:val="single" w:color="8EAADB" w:sz="4" w:space="0"/>
        <w:right w:val="single" w:color="8EAADB" w:sz="4" w:space="0"/>
        <w:insideH w:val="single" w:color="8EAADB" w:sz="4" w:space="0"/>
        <w:insideV w:val="single" w:color="8EAADB" w:sz="4" w:space="0"/>
      </w:tblBorders>
    </w:tblPr>
    <w:tblStylePr w:type="firstRow">
      <w:rPr>
        <w:b/>
        <w:bCs/>
        <w:color w:val="FFFFFF"/>
      </w:rPr>
      <w:tcPr>
        <w:tcBorders>
          <w:top w:val="single" w:color="4472C4" w:sz="4" w:space="0"/>
          <w:left w:val="single" w:color="4472C4" w:sz="4" w:space="0"/>
          <w:bottom w:val="single" w:color="4472C4" w:sz="4" w:space="0"/>
          <w:right w:val="single" w:color="4472C4" w:sz="4" w:space="0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cPr>
        <w:tcBorders>
          <w:top w:val="double" w:color="4472C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2F3"/>
      </w:tcPr>
    </w:tblStylePr>
    <w:tblStylePr w:type="band1Horz">
      <w:tcPr>
        <w:shd w:val="clear" w:color="auto" w:fill="D9E2F3"/>
      </w:tcPr>
    </w:tblStylePr>
  </w:style>
  <w:style w:type="character" w:customStyle="1" w:styleId="49">
    <w:name w:val="副标题 字符"/>
    <w:basedOn w:val="30"/>
    <w:link w:val="18"/>
    <w:uiPriority w:val="0"/>
    <w:rPr>
      <w:rFonts w:asciiTheme="minorHAnsi" w:hAnsiTheme="minorHAnsi" w:eastAsiaTheme="minorEastAsia" w:cstheme="minorBidi"/>
      <w:b/>
      <w:bCs/>
      <w:kern w:val="28"/>
      <w:sz w:val="32"/>
      <w:szCs w:val="32"/>
    </w:rPr>
  </w:style>
  <w:style w:type="character" w:customStyle="1" w:styleId="50">
    <w:name w:val="Subtle Emphasis"/>
    <w:basedOn w:val="3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table" w:customStyle="1" w:styleId="51">
    <w:name w:val="Grid Table 5 Dark Accent 5"/>
    <w:basedOn w:val="27"/>
    <w:uiPriority w:val="50"/>
    <w:pPr>
      <w:autoSpaceDE w:val="0"/>
      <w:autoSpaceDN w:val="0"/>
      <w:spacing w:line="240" w:lineRule="auto"/>
      <w:jc w:val="center"/>
    </w:pPr>
    <w:tblPr>
      <w:jc w:val="center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rPr>
      <w:jc w:val="center"/>
    </w:trPr>
    <w:tcPr>
      <w:shd w:val="clear" w:color="auto" w:fill="D9E2F3" w:themeFill="accent5" w:themeFillTint="33"/>
      <w:vAlign w:val="center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  <w:tl2br w:val="nil"/>
          <w:tr2bl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472C4" w:themeFill="accent5"/>
      </w:tcPr>
    </w:tblStylePr>
    <w:tblStylePr w:type="band1Vert">
      <w:tcPr>
        <w:shd w:val="clear" w:color="auto" w:fill="B4C6E7" w:themeFill="accent5" w:themeFillTint="66"/>
      </w:tcPr>
    </w:tblStylePr>
    <w:tblStylePr w:type="band1Horz">
      <w:tcPr>
        <w:shd w:val="clear" w:color="auto" w:fill="B4C6E7" w:themeFill="accent5" w:themeFillTint="66"/>
      </w:tcPr>
    </w:tblStylePr>
  </w:style>
  <w:style w:type="character" w:customStyle="1" w:styleId="52">
    <w:name w:val="页脚 字符"/>
    <w:basedOn w:val="30"/>
    <w:link w:val="14"/>
    <w:qFormat/>
    <w:uiPriority w:val="99"/>
    <w:rPr>
      <w:rFonts w:ascii="Arial" w:hAnsi="Arial"/>
      <w:kern w:val="2"/>
      <w:sz w:val="18"/>
      <w:szCs w:val="24"/>
    </w:rPr>
  </w:style>
  <w:style w:type="character" w:customStyle="1" w:styleId="53">
    <w:name w:val="批注文字 字符"/>
    <w:basedOn w:val="30"/>
    <w:link w:val="7"/>
    <w:qFormat/>
    <w:uiPriority w:val="0"/>
    <w:rPr>
      <w:rFonts w:ascii="Arial" w:hAnsi="Arial"/>
      <w:kern w:val="2"/>
      <w:sz w:val="24"/>
      <w:szCs w:val="24"/>
    </w:rPr>
  </w:style>
  <w:style w:type="character" w:customStyle="1" w:styleId="54">
    <w:name w:val="批注主题 字符"/>
    <w:basedOn w:val="53"/>
    <w:link w:val="23"/>
    <w:qFormat/>
    <w:uiPriority w:val="0"/>
    <w:rPr>
      <w:rFonts w:ascii="Arial" w:hAnsi="Arial"/>
      <w:b/>
      <w:bCs/>
      <w:kern w:val="2"/>
      <w:sz w:val="24"/>
      <w:szCs w:val="24"/>
    </w:rPr>
  </w:style>
  <w:style w:type="character" w:customStyle="1" w:styleId="55">
    <w:name w:val="批注框文本 字符"/>
    <w:basedOn w:val="30"/>
    <w:link w:val="13"/>
    <w:qFormat/>
    <w:uiPriority w:val="0"/>
    <w:rPr>
      <w:rFonts w:ascii="Arial" w:hAnsi="Arial"/>
      <w:kern w:val="2"/>
      <w:sz w:val="18"/>
      <w:szCs w:val="18"/>
    </w:rPr>
  </w:style>
  <w:style w:type="character" w:customStyle="1" w:styleId="56">
    <w:name w:val="正文文本 字符"/>
    <w:basedOn w:val="30"/>
    <w:link w:val="8"/>
    <w:uiPriority w:val="1"/>
    <w:rPr>
      <w:rFonts w:ascii="张海山锐线体简" w:hAnsi="张海山锐线体简" w:eastAsia="张海山锐线体简" w:cs="张海山锐线体简"/>
      <w:sz w:val="24"/>
      <w:szCs w:val="24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microsoft.com/office/2007/relationships/hdphoto" Target="media/image2.wdp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wmf"/><Relationship Id="rId13" Type="http://schemas.openxmlformats.org/officeDocument/2006/relationships/oleObject" Target="embeddings/oleObject1.bin"/><Relationship Id="rId12" Type="http://schemas.openxmlformats.org/officeDocument/2006/relationships/image" Target="media/image5.emf"/><Relationship Id="rId11" Type="http://schemas.openxmlformats.org/officeDocument/2006/relationships/package" Target="embeddings/Microsoft_Visio___1.vsdx"/><Relationship Id="rId10" Type="http://schemas.microsoft.com/office/2007/relationships/hdphoto" Target="media/image4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C11D32-BB66-4545-8A05-1BE67C6852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RELY.CN</Company>
  <Pages>10</Pages>
  <Words>1837</Words>
  <Characters>2269</Characters>
  <Lines>25</Lines>
  <Paragraphs>7</Paragraphs>
  <TotalTime>1837</TotalTime>
  <ScaleCrop>false</ScaleCrop>
  <LinksUpToDate>false</LinksUpToDate>
  <CharactersWithSpaces>2372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2019-03-28T06:47:00Z</dcterms:created>
  <dc:creator>RELY</dc:creator>
  <cp:lastModifiedBy>沁芯々</cp:lastModifiedBy>
  <dcterms:modified xsi:type="dcterms:W3CDTF">2023-03-03T08:44:56Z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95FD5C7D4A474CC184ABBB66D8EA8DC8</vt:lpwstr>
  </property>
</Properties>
</file>